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 xml:space="preserve">                 </w:t>
      </w:r>
    </w:p>
    <w:p>
      <w:pPr>
        <w:jc w:val="center"/>
        <w:rPr>
          <w:rFonts w:hint="default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破碎高楼10t葫芦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技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术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eastAsia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条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4417" w:firstLineChars="10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件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 xml:space="preserve">           </w:t>
      </w:r>
    </w:p>
    <w:p>
      <w:pPr>
        <w:jc w:val="both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pStyle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0" w:name="_Toc161170465"/>
      <w:bookmarkStart w:id="1" w:name="_Toc161171192"/>
    </w:p>
    <w:p>
      <w:pPr>
        <w:spacing w:line="800" w:lineRule="exact"/>
        <w:ind w:firstLine="182" w:firstLineChars="65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134" w:right="1247" w:bottom="851" w:left="1418" w:header="532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</w:pPr>
      <w:bookmarkStart w:id="2" w:name="_Toc166587193"/>
      <w:bookmarkStart w:id="3" w:name="_Toc161171203"/>
      <w:bookmarkStart w:id="4" w:name="_Toc6358"/>
      <w:bookmarkStart w:id="5" w:name="_Toc166570759"/>
      <w:bookmarkStart w:id="6" w:name="_Toc161170476"/>
      <w:bookmarkStart w:id="7" w:name="_Toc165992454"/>
      <w:bookmarkStart w:id="8" w:name="_Toc166598193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highlight w:val="none"/>
        </w:rPr>
        <w:t>一.总则</w:t>
      </w:r>
    </w:p>
    <w:p>
      <w:pPr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bookmarkStart w:id="9" w:name="_Toc108846254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仅适用于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隆林铝厂电动葫芦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highlight w:val="non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，它包括设备的性能和结构设计、制造、检验、包装、运输、安装和调试、验收、培训直至最终交付使用等方面的技术条件。</w:t>
      </w:r>
      <w:bookmarkEnd w:id="9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bookmarkStart w:id="10" w:name="_Toc108846256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1.2 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保证提供符合有关中国国家标准（GB系列）和有关行业最新标准要求的优质设计及产品；同时满足中国国家有关安全、环保等强制性法规、标准的要求。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须详细列出包括设计、制造、检验、供货、安装、调试、验收等所采用的标准、规程和规范名称供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审查确认。但不能免除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在保证单个设备和整个系统正常运行、性能符合本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要求方面应承担的责任。</w:t>
      </w:r>
    </w:p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1.3 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应按照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要求的时间、内容深度要求提供所需要的设计、施工文件及设备资料等，并按照工程进度要求随时修正。在签订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之后到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开始制造、安装之日的这段时间内，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有权提出因标准、规程和规范发生变化而产生的一些补充和修改要求，导致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合同设备配置上有局部微小调整，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必须负责局部的调整，并保证设备总价不变。</w:t>
      </w:r>
      <w:bookmarkEnd w:id="10"/>
      <w:bookmarkStart w:id="11" w:name="_Toc108846257"/>
    </w:p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1.4 设备采用的专利涉及到的全部费用均被认为已包含在设备报价中，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应保证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不承担有关设备专利的一切责任。</w:t>
      </w:r>
    </w:p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1.5本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提出的是最低限度的技术要求，并未对一切技术细节作出规定，也未充分引述有关标准和规范的条文，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应提供符合本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和国家标准的优质产品；</w:t>
      </w:r>
    </w:p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1.6 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所使用的标准如与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和配套方所执行的标准水平不一致时，按较高标准执行</w:t>
      </w:r>
      <w:bookmarkEnd w:id="11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  <w:bookmarkStart w:id="12" w:name="_Toc108846259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如果本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与现行使用的有关国家标准以及部颁标准有明显抵触的条文，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应及时书面通知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进行解决。    </w:t>
      </w:r>
    </w:p>
    <w:bookmarkEnd w:id="12"/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1.7 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提供的必须是完全符合本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的、全新的最佳产品，可长期安全稳定使用，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需对所提供产品的质量完全负责；并保证供货的完整性，满足安全、稳定运行要求。在现场安装、调试、试生产或生产过程中，如因设计缺陷、产品质量等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原因造成发生质量或安全事故，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全部承担由此造成的损失和后果，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不承担任何责任。</w:t>
      </w:r>
    </w:p>
    <w:p>
      <w:pPr>
        <w:pStyle w:val="16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1.8 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有责任对本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中的技术条款提出补充。若在安装运行中发现缺项或不能满足规定的技术条款工作需要时，由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负责补齐且不得增加费用。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1.9 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应对所提供的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成套设备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有全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责，所提供的产品应完全符合本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的要求，并有生产许可证及产品检验合格证，严禁采用国家公布的淘汰产品，若提供的产品不符合本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的要求或为假冒伪劣产品，除了按要求更换合格的产品外，还应按两倍产品原价的价格进行赔偿，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保留因伪劣产品造成重大损失而追究法律责任的权利。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1.10 本技术要求的设备全套的机械、电气设计及其部件、附件、控制系统等全部由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负责提供，包括分包（或采购）的产品，但分包（或采购）的产品制造商应事先征得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的认可，同时须负责安装、调试及培训，直至最终交付正常使用。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产品制造过程中，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制造现场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监制人员的书面确认，并不对其产品的试验、制造质量、最终的运行安全及功能等承担任何责任。若遇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不能接受的条件，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应陈述其不能接受的原因及理由，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具有最终决定权。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1.1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本技术协议未交钥匙工程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负责设计、制作、供货、运输、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设备本体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安装、调试、培训直至最终交付使用。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环境条件</w:t>
      </w:r>
      <w:bookmarkStart w:id="13" w:name="page4"/>
      <w:bookmarkEnd w:id="13"/>
    </w:p>
    <w:p>
      <w:pPr>
        <w:spacing w:line="360" w:lineRule="auto"/>
        <w:ind w:firstLine="480" w:firstLineChars="200"/>
        <w:rPr>
          <w:rFonts w:hint="eastAsia" w:ascii="宋体" w:cs="宋体"/>
          <w:color w:val="auto"/>
          <w:sz w:val="24"/>
          <w:highlight w:val="none"/>
          <w:lang w:bidi="ar-SA"/>
        </w:rPr>
      </w:pPr>
      <w:r>
        <w:rPr>
          <w:rFonts w:hint="eastAsia" w:ascii="宋体" w:cs="宋体"/>
          <w:color w:val="auto"/>
          <w:sz w:val="24"/>
          <w:highlight w:val="none"/>
          <w:lang w:bidi="ar-SA"/>
        </w:rPr>
        <w:t>2.</w:t>
      </w:r>
      <w:r>
        <w:rPr>
          <w:rFonts w:hint="eastAsia" w:ascii="宋体" w:cs="宋体"/>
          <w:color w:val="auto"/>
          <w:sz w:val="24"/>
          <w:highlight w:val="none"/>
          <w:lang w:val="en-US" w:eastAsia="zh-CN" w:bidi="ar-SA"/>
        </w:rPr>
        <w:t>1</w:t>
      </w:r>
      <w:r>
        <w:rPr>
          <w:rFonts w:hint="eastAsia" w:ascii="宋体" w:cs="宋体"/>
          <w:color w:val="auto"/>
          <w:sz w:val="24"/>
          <w:highlight w:val="none"/>
          <w:lang w:bidi="ar-SA"/>
        </w:rPr>
        <w:t>自然条件：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隆林县属亚热带气候，一年四季不甚分明。夏季炎热，冬无霜冻，雨量充沛。其主要气象要素如下：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极端最高气温: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39.3℃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极端最低气温: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－3.1℃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年平均气温: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19.1℃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年平均日照: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1764h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年平均降水量: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1599.0mm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年平均风速: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2.44m/s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主导风向: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SE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2.3环境条件： 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2.3.1工作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：每天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小时，设备持续运行。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2.3.2设备安装环境：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室内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2.3.3 空气环境：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周围空气有明显的尘埃、烟、腐蚀性气体或可燃气体，水蒸气或盐的污染。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2.4供电条件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2.4.1供电条件： 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低压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AC 380V，三相，50Hz</w:t>
      </w:r>
    </w:p>
    <w:p>
      <w:pPr>
        <w:tabs>
          <w:tab w:val="left" w:pos="567"/>
        </w:tabs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       AC 220V，单相，50Hz</w:t>
      </w: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主要技术参数</w:t>
      </w:r>
    </w:p>
    <w:p>
      <w:pPr>
        <w:numPr>
          <w:ilvl w:val="0"/>
          <w:numId w:val="0"/>
        </w:numPr>
        <w:tabs>
          <w:tab w:val="left" w:pos="567"/>
        </w:tabs>
        <w:snapToGrid w:val="0"/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起重设备为成套供货，范围包括设备本体、控制系统的全套零部件，供电拖线及附件、无线遥控等。需满足下述设备主要参数:</w:t>
      </w:r>
    </w:p>
    <w:p>
      <w:pPr>
        <w:pStyle w:val="2"/>
        <w:spacing w:line="360" w:lineRule="auto"/>
        <w:ind w:firstLine="480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 xml:space="preserve">3.1 </w:t>
      </w:r>
      <w:bookmarkEnd w:id="2"/>
      <w:bookmarkEnd w:id="3"/>
      <w:bookmarkEnd w:id="4"/>
      <w:bookmarkEnd w:id="5"/>
      <w:bookmarkEnd w:id="6"/>
      <w:bookmarkEnd w:id="7"/>
      <w:bookmarkEnd w:id="8"/>
      <w:bookmarkStart w:id="14" w:name="_Toc176698846"/>
      <w:bookmarkStart w:id="15" w:name="_Toc176697677"/>
      <w:bookmarkStart w:id="16" w:name="_Toc165992455"/>
      <w:bookmarkStart w:id="17" w:name="_Toc166598194"/>
      <w:bookmarkStart w:id="18" w:name="_Toc166570760"/>
      <w:bookmarkStart w:id="19" w:name="_Toc166587194"/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电动葫芦（1台）    (Q=10T  H=9m JC=25%)</w:t>
      </w: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。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起重量：                    10t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起升高度：                   9m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起升速度：                   8m/min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大车运行速度：               20m/min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轨道：                       HN700*300</w:t>
      </w:r>
    </w:p>
    <w:p>
      <w:pPr>
        <w:pStyle w:val="2"/>
        <w:spacing w:line="360" w:lineRule="auto"/>
        <w:rPr>
          <w:rFonts w:hint="eastAsia" w:cs="宋体"/>
          <w:color w:val="auto"/>
          <w:sz w:val="24"/>
          <w:highlight w:val="none"/>
          <w:lang w:val="en-US" w:eastAsia="zh-CN" w:bidi="ar-SA"/>
        </w:rPr>
      </w:pPr>
      <w:r>
        <w:rPr>
          <w:rFonts w:hint="eastAsia" w:cs="宋体"/>
          <w:color w:val="auto"/>
          <w:sz w:val="24"/>
          <w:highlight w:val="none"/>
          <w:lang w:val="en-US" w:eastAsia="zh-CN" w:bidi="ar-SA"/>
        </w:rPr>
        <w:t>操纵型式：                   无线遥控</w:t>
      </w:r>
    </w:p>
    <w:tbl>
      <w:tblPr>
        <w:tblStyle w:val="11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523"/>
        <w:gridCol w:w="2316"/>
        <w:gridCol w:w="891"/>
        <w:gridCol w:w="891"/>
        <w:gridCol w:w="952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材质及规格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5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制造厂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型号:CD1  工作级别：M3 起重量：10t 起升高度：9m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河南省力达起重机械有限公司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电动葫芦控制箱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XLD-型电动葫芦控制箱、配套10t葫芦、 配用电缆长度：35米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无线遥控器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F21-E1B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一发一收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36V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断火限位器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YBLX-44/20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含配套工字钢电缆滑车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3" w:name="_GoBack"/>
            <w:bookmarkEnd w:id="23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spacing w:line="360" w:lineRule="auto"/>
        <w:rPr>
          <w:rFonts w:hint="default" w:cs="宋体"/>
          <w:color w:val="auto"/>
          <w:sz w:val="24"/>
          <w:highlight w:val="none"/>
          <w:lang w:val="en-US" w:eastAsia="zh-CN" w:bidi="ar-SA"/>
        </w:rPr>
      </w:pPr>
    </w:p>
    <w:bookmarkEnd w:id="14"/>
    <w:bookmarkEnd w:id="15"/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bookmarkStart w:id="20" w:name="_Toc1146"/>
      <w:bookmarkStart w:id="21" w:name="_Toc16351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供货范围</w:t>
      </w:r>
      <w:bookmarkEnd w:id="20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  <w:t>（供方提供）</w:t>
      </w:r>
    </w:p>
    <w:p>
      <w:pPr>
        <w:numPr>
          <w:ilvl w:val="0"/>
          <w:numId w:val="0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试生产所需的备品备件及首次设备用油由卖方提供；设备质保期内所需的易损备品备件由卖方免费提供。</w:t>
      </w: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val="en-US" w:eastAsia="zh-CN"/>
        </w:rPr>
        <w:t>供货范围技术条件与要求</w:t>
      </w:r>
      <w:bookmarkEnd w:id="21"/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5.1机械部分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设备正确设计和制造、在正常工况下均能安全、持续运行，不过度的应力、振动、温升、磨损、腐蚀、老化等其它问题，设备结构考虑方便日常维护（如加油、紧固等）需要。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卖方采取可靠、有效的措施，保证起重机各润滑油及工作油部件不发生漏油，所有转动部件有可靠的润滑系统。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外购配套件，选用优质、节能、先进产品，并有生产许可证及生产检验合格证；重要部件需取得买方认可。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易于磨损、腐蚀、老化或需要调整、检查和更换的部件应提供备件，并能比较方便地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拆卸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更换和修理。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所使用的零件或组件有良好的互换性，减速器应运转灵活、密封良好、无冲击和漏油现象。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大车和起升机构有可靠的制动系统及终点行程限位装置和缓冲装置，起重机采用聚胺脂缓冲器。车轮组车轮的水平与垂直偏斜严格控制在规定范围之内，不发生“啃轨”现象，采用锻造车轮，轮缘和踏面硬度HB330~380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合理地选择桥架、小车、吊钩及附件的材料，桥架结构采用Q235/Q345-B，材质限度不低于招标文件中所列标准。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吊钩材料采用优质碳钢锻制，经热处理并进行无损探伤和金相分析合格，每个钩头有防脱钩装置；起重机设置超载限制器。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减速器采用优质减速器。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电控部分技术</w:t>
      </w:r>
    </w:p>
    <w:p>
      <w:pPr>
        <w:pStyle w:val="2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电气元器件选用施耐德品牌的产品，严禁使用国家明令禁止的淘汰产品和即将退出市场的高耗能产品。</w:t>
      </w:r>
    </w:p>
    <w:p>
      <w:pPr>
        <w:pStyle w:val="2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5.3.1配电系统</w:t>
      </w:r>
    </w:p>
    <w:p>
      <w:pPr>
        <w:pStyle w:val="2"/>
        <w:ind w:firstLine="24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</w:rPr>
        <w:t>1）供电电源</w:t>
      </w:r>
    </w:p>
    <w:p>
      <w:pPr>
        <w:pStyle w:val="2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主电源：</w:t>
      </w:r>
      <w:r>
        <w:rPr>
          <w:rFonts w:hint="eastAsia"/>
          <w:color w:val="auto"/>
          <w:highlight w:val="none"/>
          <w:lang w:val="en-US" w:eastAsia="zh-CN"/>
        </w:rPr>
        <w:t>三相380VAC电源</w:t>
      </w:r>
      <w:r>
        <w:rPr>
          <w:rFonts w:hint="eastAsia"/>
          <w:color w:val="auto"/>
          <w:highlight w:val="none"/>
        </w:rPr>
        <w:t>。</w:t>
      </w:r>
    </w:p>
    <w:p>
      <w:pPr>
        <w:pStyle w:val="2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控制电源：</w:t>
      </w:r>
      <w:r>
        <w:rPr>
          <w:rFonts w:hint="eastAsia"/>
          <w:color w:val="auto"/>
          <w:highlight w:val="none"/>
          <w:lang w:val="en-US" w:eastAsia="zh-CN"/>
        </w:rPr>
        <w:t>36</w:t>
      </w:r>
      <w:r>
        <w:rPr>
          <w:rFonts w:hint="eastAsia"/>
          <w:color w:val="auto"/>
          <w:highlight w:val="none"/>
        </w:rPr>
        <w:t>VAC由控制变压器提供。</w:t>
      </w:r>
    </w:p>
    <w:p>
      <w:pPr>
        <w:pStyle w:val="2"/>
        <w:ind w:firstLine="720" w:firstLineChars="3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所有接线端子、电缆均需设置有标识，线号为粗体打印。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（2）控制系统</w:t>
      </w:r>
    </w:p>
    <w:p>
      <w:pPr>
        <w:pStyle w:val="2"/>
        <w:numPr>
          <w:ilvl w:val="0"/>
          <w:numId w:val="0"/>
        </w:numPr>
        <w:ind w:firstLine="720" w:firstLineChars="3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配套电动葫芦控制箱，安装无线遥控。</w:t>
      </w:r>
    </w:p>
    <w:p>
      <w:pPr>
        <w:pStyle w:val="2"/>
        <w:numPr>
          <w:ilvl w:val="0"/>
          <w:numId w:val="0"/>
        </w:numPr>
        <w:ind w:firstLine="240" w:firstLineChars="1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（3）配套供电电缆及拖线附件，安装无阻碍滑动。</w:t>
      </w:r>
    </w:p>
    <w:p>
      <w:pPr>
        <w:pStyle w:val="2"/>
        <w:numPr>
          <w:ilvl w:val="0"/>
          <w:numId w:val="0"/>
        </w:numPr>
        <w:ind w:firstLine="720" w:firstLineChars="300"/>
        <w:rPr>
          <w:rFonts w:hint="default"/>
          <w:color w:val="auto"/>
          <w:highlight w:val="none"/>
          <w:lang w:val="en-US" w:eastAsia="zh-CN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遵循技术标准和规范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要求提供的设备技术先进、成熟可靠，应为传统定型成套设备，不接受新研究试制的产品；设备设计、制造、施工及验收应遵循国家现行的最新相应标准 、规范，并满足国家最新（GB)有关标准、法律、法规。</w:t>
      </w: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技术资料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7.1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提供的资料应使用国家法定单位制即国际单位制，语言为中文。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资料的组织结构清晰、逻辑性强，资料内容要正确、准确、一致、清晰完整，满足设备要求。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要及时提供与合同设备制造有关的资料。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提供的各种资料、图纸，应符合国家相关规范的要求。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设备到现场后必须提供的设计文件和图纸除统一规定的白图份数外，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提供技术资料的内容包括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设备使用说明书的电子版与纸质版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控制系统电气接线图的电子版与纸质版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整套设备主要功能部件清单纸质版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备品、配件总清单（必须至少包含名称、规格、具体使用部位、数量、厂家等相关信息）。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bookmarkStart w:id="22" w:name="_Toc329447678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运输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安装、调试及验收</w:t>
      </w:r>
    </w:p>
    <w:bookmarkEnd w:id="22"/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8.1在设备安装与调试过程中，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将派遣技术人员检查设备安装与调试进度、质量水平及装配状况，发现不符合技术文件的行为，有权制止继续加工。但不免除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对设备质量所应承担的责任。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8.2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有权派遣人员到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处参与设备监造和检验工作。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8.3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选派有经验的工程技术人员免费到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现场开展对本条件设备的安装、调试、使用及处理投运过程中出现的问题。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8.4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val="en-US" w:eastAsia="zh-CN"/>
        </w:rPr>
        <w:t>、需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GB"/>
        </w:rPr>
        <w:t>双方各指定一名授权的现场代表，以保证合同设备安装、调试、试车、性能考核及验收的顺利进行。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8.5设备验收：依据条件要求对整套设备进行验收，根据设计运行数据出具验收报告。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8.6安全货物包装按GB/T13384-92《机电产品包装通用技术条件执行》。要求有良好的防潮、防震、防锈、防挤压和防野蛮装卸等保护措施。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本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涉及设备、材料如因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的技术及供货失误造成额外费用及工期延误的，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须承担相应责任。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8.12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根据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要求将设备、材料运抵现场后,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应在规定的工期内完成现场系统安装、接线与调试等工作。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质保要求及性能考核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9.1本设备产品保质期为一年，从设备完成安装调试具备投入使用条件，进行试运行使用，试运行期间存在的问题由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负责整改，完成整改合格后由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书面申请进行运行验收，并从验收合格之日算起。质保期内设备出现问题、损坏或性能无法满足安全使用要求的，由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负责免费维修或更换，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设备维修、人工、配件更换等全部费用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由</w:t>
      </w:r>
      <w:r>
        <w:rPr>
          <w:rFonts w:hint="eastAsia" w:asciiTheme="minorEastAsia" w:hAnsiTheme="minorEastAsia" w:cstheme="minorEastAsia"/>
          <w:color w:val="auto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highlight w:val="none"/>
        </w:rPr>
        <w:t>负责。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9.2质保期内，设备的某个部件被证明确实需要修理或更换，则被更换或修理的部件从更换或修理完成之日起顺延。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9.3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在使用过程中应按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提供的说明书及操作规程对本条件中的设备进行操作和维护，因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使用不当造成的设备损坏，责任由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承担。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9.4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必须保证整个设备的可靠性，在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正常的操作下，如出现设备故障造成设备本身损坏或其他损失，由此产生的费用完全由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承担。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9.5质保期内，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要确保设备性能指标符合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有关要求。除因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的非正常操作和维护及易损件的正常磨损外，设备的所有损坏由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负责免费处理，包括提供相应的部件更换和设备修复，在工作中，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应提供工作方便。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9.6从设备投运开始之日起，在质保期内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必须根据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的要求，进行服务，并将定期进行质量走访。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9.7质保期满后，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应保证备品备件及易损件的长期价格优惠供应和优质的售后服务。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9.8设备如发生质量问题，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接到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通知48小时内方派人到达现场负责免费维修并得到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确认同意后才能撤离，若非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原因造成的的质量问题，并如由此造成的损失，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须按合同有关条款向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进行赔偿。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售后及服务要求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10.1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必须派出合格的、能独立解决现场实际问题的调试人员。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的技术人员必须能满足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使用本条件设备的需要，否则，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有权要求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更换技术服务人员或延长服务期限，且发生的费用由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承担。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10.2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服务人员的一切费用己包含在合同总价中，它包括工资及各种补助、交通费、通讯费、食宿费、医疗费、各种保险费、各种税费等。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10.3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现场服务人员的工作时间必须满足现场设备运行的要求。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10.4技术培训：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必须向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技术人员、运行人员、维修操作人员进行现场与理论培训，直到能够单独操作及进行简单的日常维修、维护为止，应列出培训计划、内容。同时向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 xml:space="preserve">提供全套运行、维护、保养手册等技术资料。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GB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GB"/>
        </w:rPr>
        <w:t>设备安装调试期间培训——在设备安装调试期间，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val="en-GB"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GB"/>
        </w:rPr>
        <w:t>提供给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val="en-GB"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GB"/>
        </w:rPr>
        <w:t>进行现场培训，内容包括设备操作、原理讲解及一般故障排除等。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10.6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在使用本设备前，应按照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提供的说明书中的有关项对本设备进行检查，如发现存在机构缺陷或技术缺陷影响使用时，应及时通知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，由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负责整改。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10.7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确保二十年内提供本技术条件产品的优质、合理配件供应、软件指导。</w:t>
      </w:r>
    </w:p>
    <w:p>
      <w:pPr>
        <w:numPr>
          <w:ilvl w:val="0"/>
          <w:numId w:val="2"/>
        </w:numPr>
        <w:tabs>
          <w:tab w:val="left" w:pos="567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供货周期要求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.1交货期：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2022年6月15日前到货， 2022年6月15日完成安装调试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.2 交货地点：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广西壮族自治区百色市隆林各族自治县平班镇母姑村下寨屯（登高工业园区内）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.3 交货方式：由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供方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全部配送到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需方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施工现场，含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运输，装、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卸货、</w:t>
      </w:r>
      <w:r>
        <w:rPr>
          <w:rFonts w:hint="eastAsia" w:asciiTheme="minorEastAsia" w:hAnsiTheme="minorEastAsia" w:cstheme="minorEastAsia"/>
          <w:color w:val="auto"/>
          <w:kern w:val="0"/>
          <w:sz w:val="24"/>
          <w:highlight w:val="none"/>
          <w:lang w:eastAsia="zh-CN"/>
        </w:rPr>
        <w:t>安装、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并根据本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  <w:lang w:eastAsia="zh-CN"/>
        </w:rPr>
        <w:t>技术条件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highlight w:val="none"/>
        </w:rPr>
        <w:t>规定的标准、规程、规范进行验收，合格后交货。</w:t>
      </w:r>
    </w:p>
    <w:bookmarkEnd w:id="0"/>
    <w:bookmarkEnd w:id="1"/>
    <w:bookmarkEnd w:id="16"/>
    <w:bookmarkEnd w:id="17"/>
    <w:bookmarkEnd w:id="18"/>
    <w:bookmarkEnd w:id="19"/>
    <w:p>
      <w:pPr>
        <w:rPr>
          <w:color w:val="auto"/>
          <w:highlight w:val="none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ascii="楷体_GB2312" w:eastAsia="楷体_GB2312"/>
        <w:b/>
        <w:i/>
        <w:iCs/>
        <w:color w:val="FF0000"/>
        <w:sz w:val="28"/>
      </w:rPr>
      <w:t xml:space="preserve">    </w:t>
    </w:r>
    <w:r>
      <w:rPr>
        <w:rFonts w:ascii="楷体_GB2312" w:eastAsia="楷体_GB2312"/>
        <w:b/>
        <w:i/>
        <w:iCs/>
        <w:color w:val="FF0000"/>
        <w:sz w:val="28"/>
      </w:rPr>
      <w:t xml:space="preserve">            </w:t>
    </w:r>
    <w:r>
      <w:rPr>
        <w:rFonts w:hint="eastAsia" w:ascii="楷体_GB2312" w:eastAsia="楷体_GB2312"/>
        <w:b/>
        <w:i/>
        <w:iCs/>
        <w:color w:val="FF0000"/>
        <w:sz w:val="28"/>
      </w:rPr>
      <w:t xml:space="preserve">   </w:t>
    </w:r>
    <w:r>
      <w:rPr>
        <w:rFonts w:ascii="楷体_GB2312" w:eastAsia="楷体_GB2312"/>
        <w:b/>
        <w:i/>
        <w:iCs/>
        <w:color w:val="FF0000"/>
        <w:sz w:val="28"/>
      </w:rPr>
      <w:t xml:space="preserve">     </w:t>
    </w:r>
    <w:r>
      <w:rPr>
        <w:rFonts w:hint="eastAsia" w:ascii="楷体_GB2312" w:eastAsia="楷体_GB2312"/>
        <w:b/>
        <w:i/>
        <w:iCs/>
        <w:color w:val="FF0000"/>
        <w:sz w:val="28"/>
      </w:rPr>
      <w:t xml:space="preserve">　　　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  <w:p>
    <w:pPr>
      <w:pStyle w:val="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仿宋" w:hAnsi="仿宋" w:eastAsia="仿宋"/>
        <w:bCs/>
        <w:sz w:val="24"/>
      </w:rPr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27B08D"/>
    <w:multiLevelType w:val="singleLevel"/>
    <w:tmpl w:val="BC27B08D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59367E9C"/>
    <w:multiLevelType w:val="singleLevel"/>
    <w:tmpl w:val="59367E9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2M1N2YyNTQ3N2M2ZmNmMzg1NmVmZjYxYjAyNzIifQ=="/>
  </w:docVars>
  <w:rsids>
    <w:rsidRoot w:val="00172A27"/>
    <w:rsid w:val="0038572E"/>
    <w:rsid w:val="003D37D0"/>
    <w:rsid w:val="005959DA"/>
    <w:rsid w:val="009601AB"/>
    <w:rsid w:val="00A350B8"/>
    <w:rsid w:val="00E36400"/>
    <w:rsid w:val="011D4BA7"/>
    <w:rsid w:val="02FE489B"/>
    <w:rsid w:val="040E09BC"/>
    <w:rsid w:val="049E5CF2"/>
    <w:rsid w:val="05014A27"/>
    <w:rsid w:val="0650484D"/>
    <w:rsid w:val="06BE523F"/>
    <w:rsid w:val="09B1266B"/>
    <w:rsid w:val="0B2603FF"/>
    <w:rsid w:val="0B54095C"/>
    <w:rsid w:val="0B5A097D"/>
    <w:rsid w:val="0E407CF5"/>
    <w:rsid w:val="0ED63229"/>
    <w:rsid w:val="105510B4"/>
    <w:rsid w:val="10833E59"/>
    <w:rsid w:val="11E44DD2"/>
    <w:rsid w:val="141B6A83"/>
    <w:rsid w:val="15460E33"/>
    <w:rsid w:val="173E3FD7"/>
    <w:rsid w:val="1B2053A3"/>
    <w:rsid w:val="1D747689"/>
    <w:rsid w:val="1DB87370"/>
    <w:rsid w:val="1DFA09AC"/>
    <w:rsid w:val="1F512641"/>
    <w:rsid w:val="1F9A7A74"/>
    <w:rsid w:val="1FF70C61"/>
    <w:rsid w:val="23EC7757"/>
    <w:rsid w:val="24431540"/>
    <w:rsid w:val="2651223A"/>
    <w:rsid w:val="26F370E0"/>
    <w:rsid w:val="27187B37"/>
    <w:rsid w:val="27391566"/>
    <w:rsid w:val="29A03D38"/>
    <w:rsid w:val="29AF5A66"/>
    <w:rsid w:val="2A02538D"/>
    <w:rsid w:val="2B576EFE"/>
    <w:rsid w:val="2C024898"/>
    <w:rsid w:val="2C613007"/>
    <w:rsid w:val="2DB152EB"/>
    <w:rsid w:val="2E9846D9"/>
    <w:rsid w:val="306A674A"/>
    <w:rsid w:val="32631C67"/>
    <w:rsid w:val="33A064A3"/>
    <w:rsid w:val="37205A07"/>
    <w:rsid w:val="374906B9"/>
    <w:rsid w:val="38227406"/>
    <w:rsid w:val="3A074038"/>
    <w:rsid w:val="3C3E277E"/>
    <w:rsid w:val="3D7D5C74"/>
    <w:rsid w:val="413D2433"/>
    <w:rsid w:val="43A60F50"/>
    <w:rsid w:val="473E51D7"/>
    <w:rsid w:val="47A45C40"/>
    <w:rsid w:val="48D859D4"/>
    <w:rsid w:val="4AF74DBF"/>
    <w:rsid w:val="4B40022A"/>
    <w:rsid w:val="50206E39"/>
    <w:rsid w:val="52376BBD"/>
    <w:rsid w:val="54533AAC"/>
    <w:rsid w:val="565D754C"/>
    <w:rsid w:val="566672F7"/>
    <w:rsid w:val="57D4259B"/>
    <w:rsid w:val="5B8B68C9"/>
    <w:rsid w:val="5BAF7EF0"/>
    <w:rsid w:val="5BB60A57"/>
    <w:rsid w:val="5BC410E1"/>
    <w:rsid w:val="5BEA7CDA"/>
    <w:rsid w:val="5E0E3B7F"/>
    <w:rsid w:val="5ECE4402"/>
    <w:rsid w:val="5F035311"/>
    <w:rsid w:val="623A7847"/>
    <w:rsid w:val="62BE595B"/>
    <w:rsid w:val="630E4FBE"/>
    <w:rsid w:val="636D535D"/>
    <w:rsid w:val="65156CD5"/>
    <w:rsid w:val="6C954857"/>
    <w:rsid w:val="6CBC5E32"/>
    <w:rsid w:val="6DBD202C"/>
    <w:rsid w:val="6ED435AE"/>
    <w:rsid w:val="72A91074"/>
    <w:rsid w:val="72D25D23"/>
    <w:rsid w:val="75B23177"/>
    <w:rsid w:val="77102239"/>
    <w:rsid w:val="77E43CE1"/>
    <w:rsid w:val="77EC75B7"/>
    <w:rsid w:val="79300147"/>
    <w:rsid w:val="79617D9C"/>
    <w:rsid w:val="796E78FB"/>
    <w:rsid w:val="7AF1193E"/>
    <w:rsid w:val="7E0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jc w:val="center"/>
      <w:outlineLvl w:val="2"/>
    </w:pPr>
    <w:rPr>
      <w:b/>
      <w:bCs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toc 1"/>
    <w:basedOn w:val="1"/>
    <w:next w:val="1"/>
    <w:semiHidden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样式1"/>
    <w:basedOn w:val="1"/>
    <w:qFormat/>
    <w:uiPriority w:val="0"/>
    <w:rPr>
      <w:sz w:val="28"/>
      <w:szCs w:val="24"/>
    </w:rPr>
  </w:style>
  <w:style w:type="paragraph" w:customStyle="1" w:styleId="16">
    <w:name w:val="纯文本1"/>
    <w:basedOn w:val="1"/>
    <w:qFormat/>
    <w:uiPriority w:val="0"/>
    <w:pPr>
      <w:adjustRightInd w:val="0"/>
      <w:spacing w:line="360" w:lineRule="atLeast"/>
      <w:textAlignment w:val="baseline"/>
    </w:pPr>
    <w:rPr>
      <w:rFonts w:ascii="宋体"/>
      <w:kern w:val="0"/>
      <w:szCs w:val="20"/>
    </w:rPr>
  </w:style>
  <w:style w:type="paragraph" w:customStyle="1" w:styleId="17">
    <w:name w:val="msolistparagraph"/>
    <w:basedOn w:val="1"/>
    <w:qFormat/>
    <w:uiPriority w:val="0"/>
    <w:pPr>
      <w:ind w:firstLine="420" w:firstLineChars="200"/>
    </w:pPr>
  </w:style>
  <w:style w:type="paragraph" w:customStyle="1" w:styleId="18">
    <w:name w:val="样式 标题 3条标题1.1.1Level 3 Headsect1.2.3h33rd levelH33Head 3..."/>
    <w:basedOn w:val="4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font122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1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3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24">
    <w:name w:val="_Style 1"/>
    <w:basedOn w:val="1"/>
    <w:qFormat/>
    <w:uiPriority w:val="0"/>
    <w:pPr>
      <w:autoSpaceDE w:val="0"/>
      <w:autoSpaceDN w:val="0"/>
      <w:adjustRightInd w:val="0"/>
      <w:spacing w:line="360" w:lineRule="atLeast"/>
      <w:ind w:left="425" w:firstLine="420" w:firstLineChars="200"/>
      <w:jc w:val="left"/>
      <w:textAlignment w:val="bottom"/>
    </w:pPr>
    <w:rPr>
      <w:rFonts w:ascii="Calibri" w:hAnsi="Calibri"/>
      <w:position w:val="-6"/>
      <w:szCs w:val="22"/>
    </w:rPr>
  </w:style>
  <w:style w:type="paragraph" w:customStyle="1" w:styleId="25">
    <w:name w:val="_Style 3"/>
    <w:basedOn w:val="1"/>
    <w:qFormat/>
    <w:uiPriority w:val="0"/>
    <w:pPr>
      <w:autoSpaceDE w:val="0"/>
      <w:autoSpaceDN w:val="0"/>
      <w:adjustRightInd w:val="0"/>
      <w:spacing w:line="360" w:lineRule="atLeast"/>
      <w:ind w:left="425" w:firstLine="420" w:firstLineChars="200"/>
      <w:jc w:val="left"/>
      <w:textAlignment w:val="bottom"/>
    </w:pPr>
    <w:rPr>
      <w:rFonts w:ascii="Calibri" w:hAnsi="Calibri"/>
      <w:position w:val="-6"/>
      <w:szCs w:val="22"/>
    </w:rPr>
  </w:style>
  <w:style w:type="paragraph" w:customStyle="1" w:styleId="26">
    <w:name w:val="3.2 图文字"/>
    <w:qFormat/>
    <w:uiPriority w:val="0"/>
    <w:rPr>
      <w:rFonts w:ascii="Arial" w:hAnsi="宋体" w:eastAsia="宋体" w:cs="Times New Roman"/>
      <w:kern w:val="2"/>
      <w:sz w:val="18"/>
      <w:szCs w:val="22"/>
      <w:lang w:val="en-US" w:eastAsia="zh-CN" w:bidi="ar-SA"/>
    </w:rPr>
  </w:style>
  <w:style w:type="character" w:customStyle="1" w:styleId="27">
    <w:name w:val="font31"/>
    <w:basedOn w:val="12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4366</Words>
  <Characters>4640</Characters>
  <Lines>0</Lines>
  <Paragraphs>0</Paragraphs>
  <TotalTime>6</TotalTime>
  <ScaleCrop>false</ScaleCrop>
  <LinksUpToDate>false</LinksUpToDate>
  <CharactersWithSpaces>4955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2020-12-15T03:30:00Z</dcterms:created>
  <dc:creator>Administrator</dc:creator>
  <cp:lastModifiedBy>谈何</cp:lastModifiedBy>
  <dcterms:modified xsi:type="dcterms:W3CDTF">2022-05-31T03:54:33Z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418F05E894114F17BDEE06CFD5FD52C4</vt:lpwstr>
  </property>
</Properties>
</file>