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18" w:rsidRDefault="00783B18">
      <w:pPr>
        <w:rPr>
          <w:rStyle w:val="NormalCharacter"/>
          <w:b/>
          <w:sz w:val="24"/>
        </w:rPr>
      </w:pPr>
    </w:p>
    <w:p w:rsidR="00783B18" w:rsidRDefault="00420FDF" w:rsidP="00821ABB">
      <w:pPr>
        <w:spacing w:line="360" w:lineRule="exact"/>
        <w:rPr>
          <w:rStyle w:val="NormalCharacter"/>
          <w:rFonts w:ascii="宋体" w:hAnsi="宋体"/>
          <w:b/>
          <w:sz w:val="30"/>
          <w:szCs w:val="30"/>
        </w:rPr>
      </w:pPr>
      <w:bookmarkStart w:id="0" w:name="_GoBack"/>
      <w:r>
        <w:rPr>
          <w:rStyle w:val="NormalCharacter"/>
          <w:rFonts w:ascii="宋体" w:hAnsi="宋体"/>
          <w:b/>
          <w:sz w:val="30"/>
          <w:szCs w:val="30"/>
        </w:rPr>
        <w:t>产品特征：</w:t>
      </w:r>
    </w:p>
    <w:p w:rsidR="00783B18" w:rsidRDefault="00783B18" w:rsidP="00821ABB">
      <w:pPr>
        <w:spacing w:line="360" w:lineRule="exact"/>
        <w:ind w:firstLineChars="50" w:firstLine="120"/>
        <w:rPr>
          <w:rStyle w:val="NormalCharacter"/>
          <w:rFonts w:ascii="宋体" w:hAnsi="宋体"/>
          <w:sz w:val="24"/>
        </w:rPr>
      </w:pPr>
    </w:p>
    <w:p w:rsidR="00783B18" w:rsidRDefault="00420FDF" w:rsidP="00821ABB">
      <w:pPr>
        <w:spacing w:line="360" w:lineRule="exact"/>
        <w:ind w:leftChars="150" w:left="315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本品是由有机溶剂、有机多元酸、活化剂、等多种添加剂配制而成的脱漆</w:t>
      </w:r>
      <w:r>
        <w:rPr>
          <w:rStyle w:val="NormalCharacter"/>
          <w:rFonts w:ascii="宋体" w:hAnsi="宋体" w:hint="eastAsia"/>
          <w:sz w:val="24"/>
        </w:rPr>
        <w:t>剂</w:t>
      </w:r>
      <w:r>
        <w:rPr>
          <w:rStyle w:val="NormalCharacter"/>
          <w:rFonts w:ascii="宋体" w:hAnsi="宋体"/>
          <w:sz w:val="24"/>
        </w:rPr>
        <w:t>，</w:t>
      </w:r>
      <w:r>
        <w:rPr>
          <w:rStyle w:val="NormalCharacter"/>
          <w:rFonts w:ascii="宋体" w:hAnsi="宋体" w:hint="eastAsia"/>
          <w:sz w:val="24"/>
        </w:rPr>
        <w:t>专业用于轮毂行业</w:t>
      </w:r>
      <w:r>
        <w:rPr>
          <w:rStyle w:val="NormalCharacter"/>
          <w:rFonts w:ascii="宋体" w:hAnsi="宋体"/>
          <w:sz w:val="24"/>
        </w:rPr>
        <w:t>，常温使用，各种喷、烤、涂的静电粉体、油漆、电泳漆均能快速剥脱。含有多种添加剂，可减低溶液的挥发；并将涂层成片脱落而不溶解，使用寿命延长。</w:t>
      </w:r>
    </w:p>
    <w:p w:rsidR="00783B18" w:rsidRDefault="00783B18" w:rsidP="00821ABB">
      <w:pPr>
        <w:spacing w:line="360" w:lineRule="exact"/>
        <w:rPr>
          <w:rStyle w:val="NormalCharacter"/>
          <w:rFonts w:ascii="宋体" w:hAnsi="宋体"/>
          <w:b/>
          <w:bCs/>
          <w:szCs w:val="21"/>
        </w:rPr>
      </w:pPr>
    </w:p>
    <w:p w:rsidR="00783B18" w:rsidRDefault="00783B18" w:rsidP="00821ABB">
      <w:pPr>
        <w:spacing w:line="360" w:lineRule="exact"/>
        <w:ind w:leftChars="50" w:left="465" w:hanging="360"/>
        <w:rPr>
          <w:rStyle w:val="NormalCharacter"/>
          <w:rFonts w:ascii="宋体" w:hAnsi="宋体"/>
          <w:sz w:val="24"/>
        </w:rPr>
      </w:pPr>
    </w:p>
    <w:p w:rsidR="00783B18" w:rsidRDefault="00420FDF" w:rsidP="00821ABB">
      <w:pPr>
        <w:spacing w:line="360" w:lineRule="exact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工艺流程：</w:t>
      </w:r>
    </w:p>
    <w:p w:rsidR="00783B18" w:rsidRDefault="00783B18" w:rsidP="00821ABB">
      <w:pPr>
        <w:spacing w:line="360" w:lineRule="exact"/>
        <w:rPr>
          <w:rStyle w:val="NormalCharacter"/>
          <w:rFonts w:ascii="宋体" w:hAnsi="宋体"/>
          <w:b/>
          <w:sz w:val="32"/>
          <w:szCs w:val="32"/>
        </w:rPr>
      </w:pPr>
    </w:p>
    <w:p w:rsidR="00783B18" w:rsidRDefault="00420FDF" w:rsidP="00821ABB">
      <w:pPr>
        <w:tabs>
          <w:tab w:val="left" w:pos="945"/>
          <w:tab w:val="left" w:pos="3045"/>
          <w:tab w:val="left" w:pos="6060"/>
        </w:tabs>
        <w:spacing w:line="360" w:lineRule="exact"/>
        <w:ind w:firstLineChars="50" w:firstLine="105"/>
        <w:rPr>
          <w:rStyle w:val="NormalCharacter"/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" name="AutoShape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4" o:spid="_x0000_s1026" o:spt="100" style="position:absolute;left:0pt;margin-left:0pt;margin-top:0pt;height:50pt;width:50pt;visibility:hidden;z-index:251659264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Vg6wy0gAA&#10;AAUBAAAPAAAAAAAAAAEAIAAAACIAAABkcnMvZG93bnJldi54bWxQSwECFAAUAAAACACHTuJA3dsh&#10;6iQCAAB9BAAADgAAAAAAAAABACAAAAAhAQAAZHJzL2Uyb0RvYy54bWxQSwUGAAAAAAYABgBZAQAA&#10;twUAAAAA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111760</wp:posOffset>
                </wp:positionV>
                <wp:extent cx="228600" cy="0"/>
                <wp:effectExtent l="9525" t="55245" r="19050" b="59055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4" o:spid="_x0000_s1026" o:spt="20" style="position:absolute;left:0pt;margin-left:97.5pt;margin-top:8.8pt;height:0pt;width:18pt;z-index:251661312;mso-width-relative:page;mso-height-relative:page;" filled="f" stroked="t" coordsize="21600,21600" o:gfxdata="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9R1mLXAAAACQEAAA8AAAAAAAAAAQAgAAAAIgAAAGRycy9k&#10;b3ducmV2LnhtbFBLAQIUABQAAAAIAIdO4kANnN9DygEAAIADAAAOAAAAAAAAAAEAIAAAACY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123190</wp:posOffset>
                </wp:positionV>
                <wp:extent cx="228600" cy="0"/>
                <wp:effectExtent l="9525" t="57150" r="19050" b="57150"/>
                <wp:wrapNone/>
                <wp:docPr id="1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7" o:spid="_x0000_s1026" o:spt="20" style="position:absolute;left:0pt;margin-left:289.5pt;margin-top:9.7pt;height:0pt;width:18pt;z-index:251664384;mso-width-relative:page;mso-height-relative:page;" filled="f" stroked="t" coordsize="21600,21600" o:gfxdata="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D057XYAAAACQEAAA8AAAAAAAAAAQAgAAAAIgAAAGRycy9k&#10;b3ducmV2LnhtbFBLAQIUABQAAAAIAIdO4kC9+wNKyQEAAIADAAAOAAAAAAAAAAEAIAAAACc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123190</wp:posOffset>
                </wp:positionV>
                <wp:extent cx="228600" cy="0"/>
                <wp:effectExtent l="12700" t="57150" r="15875" b="57150"/>
                <wp:wrapNone/>
                <wp:docPr id="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6" o:spid="_x0000_s1026" o:spt="20" style="position:absolute;left:0pt;margin-left:238pt;margin-top:9.7pt;height:0pt;width:18pt;z-index:251663360;mso-width-relative:page;mso-height-relative:page;" filled="f" stroked="t" coordsize="21600,21600" o:gfxdata="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63QXNgAAAAJAQAADwAAAAAAAAABACAAAAAiAAAAZHJzL2Rv&#10;d25yZXYueG1sUEsBAhQAFAAAAAgAh07iQCJWOHvIAQAAfwMAAA4AAAAAAAAAAQAgAAAAJwEAAGRy&#10;cy9lMm9Eb2MueG1sUEsFBgAAAAAGAAYAWQEAAG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111760</wp:posOffset>
                </wp:positionV>
                <wp:extent cx="228600" cy="0"/>
                <wp:effectExtent l="12700" t="55245" r="15875" b="59055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5" o:spid="_x0000_s1026" o:spt="20" style="position:absolute;left:0pt;margin-left:163pt;margin-top:8.8pt;height:0pt;width:18pt;z-index:251662336;mso-width-relative:page;mso-height-relative:page;" filled="f" stroked="t" coordsize="21600,21600" o:gfxdata="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RrMTdgAAAAJAQAADwAAAAAAAAABACAAAAAiAAAAZHJzL2Rv&#10;d25yZXYueG1sUEsBAhQAFAAAAAgAh07iQJIx5HLIAQAAfwMAAA4AAAAAAAAAAQAgAAAAJwEAAGRy&#10;cy9lMm9Eb2MueG1sUEsFBgAAAAAGAAYAWQEAAG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228600" cy="0"/>
                <wp:effectExtent l="9525" t="61595" r="19050" b="527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27pt;margin-top:7.8pt;height:0pt;width:18pt;z-index:251660288;mso-width-relative:page;mso-height-relative:page;" filled="f" stroked="t" coordsize="21600,21600" o:gfxdata="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QWmzdUAAAAHAQAADwAAAAAAAAABACAAAAAiAAAAZHJzL2Rvd25y&#10;ZXYueG1sUEsBAhQAFAAAAAgAh07iQMW4HRnIAQAAfgMAAA4AAAAAAAAAAQAgAAAAJAEAAGRycy9l&#10;Mm9Eb2MueG1sUEsFBgAAAAAGAAYAWQEAAF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NormalCharacter"/>
          <w:rFonts w:ascii="宋体" w:hAnsi="宋体"/>
          <w:sz w:val="24"/>
        </w:rPr>
        <w:t>脱漆</w:t>
      </w:r>
      <w:r>
        <w:rPr>
          <w:rStyle w:val="NormalCharacter"/>
          <w:rFonts w:ascii="宋体" w:hAnsi="宋体"/>
          <w:sz w:val="24"/>
        </w:rPr>
        <w:tab/>
        <w:t xml:space="preserve">浸泡水洗   高压冲洗    表面处理    水洗     干燥      </w:t>
      </w:r>
    </w:p>
    <w:p w:rsidR="00783B18" w:rsidRDefault="00783B18" w:rsidP="00821ABB">
      <w:pPr>
        <w:tabs>
          <w:tab w:val="left" w:pos="945"/>
          <w:tab w:val="left" w:pos="3045"/>
          <w:tab w:val="left" w:pos="6060"/>
        </w:tabs>
        <w:spacing w:line="360" w:lineRule="exact"/>
        <w:rPr>
          <w:rStyle w:val="NormalCharacter"/>
          <w:rFonts w:ascii="宋体" w:hAnsi="宋体"/>
          <w:sz w:val="24"/>
        </w:rPr>
      </w:pPr>
    </w:p>
    <w:p w:rsidR="00783B18" w:rsidRDefault="00420FDF" w:rsidP="00821ABB">
      <w:pPr>
        <w:tabs>
          <w:tab w:val="center" w:pos="4950"/>
        </w:tabs>
        <w:spacing w:line="360" w:lineRule="exact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产品特性:</w:t>
      </w:r>
    </w:p>
    <w:p w:rsidR="00783B18" w:rsidRDefault="00783B18" w:rsidP="00821ABB">
      <w:pPr>
        <w:tabs>
          <w:tab w:val="center" w:pos="4950"/>
        </w:tabs>
        <w:spacing w:line="360" w:lineRule="exact"/>
        <w:rPr>
          <w:rStyle w:val="NormalCharacter"/>
          <w:rFonts w:ascii="宋体" w:hAnsi="宋体"/>
          <w:b/>
          <w:sz w:val="28"/>
          <w:szCs w:val="28"/>
        </w:rPr>
      </w:pPr>
    </w:p>
    <w:tbl>
      <w:tblPr>
        <w:tblW w:w="95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449"/>
        <w:gridCol w:w="1449"/>
        <w:gridCol w:w="837"/>
        <w:gridCol w:w="3803"/>
        <w:gridCol w:w="705"/>
      </w:tblGrid>
      <w:tr w:rsidR="00783B18" w:rsidTr="00821ABB">
        <w:trPr>
          <w:trHeight w:val="323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性状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使用条件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使用特点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备注</w:t>
            </w:r>
          </w:p>
        </w:tc>
      </w:tr>
      <w:tr w:rsidR="00783B18" w:rsidTr="00821ABB">
        <w:trPr>
          <w:trHeight w:val="279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783B18" w:rsidP="00821ABB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处理方式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时间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温度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783B18" w:rsidP="00821ABB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783B18" w:rsidP="00821ABB">
            <w:pPr>
              <w:spacing w:line="36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783B18" w:rsidTr="00821ABB">
        <w:trPr>
          <w:trHeight w:val="10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before="240" w:line="360" w:lineRule="exac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浅色至棕色液体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before="240" w:line="360" w:lineRule="exac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原液浸泡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before="240" w:line="360" w:lineRule="exac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0.5~720分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before="240" w:line="360" w:lineRule="exac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常温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420FDF" w:rsidP="00821ABB">
            <w:pPr>
              <w:spacing w:before="240" w:line="360" w:lineRule="exac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用于金属</w:t>
            </w:r>
            <w:proofErr w:type="gramStart"/>
            <w:r>
              <w:rPr>
                <w:rStyle w:val="NormalCharacter"/>
                <w:rFonts w:ascii="宋体" w:hAnsi="宋体"/>
                <w:szCs w:val="21"/>
              </w:rPr>
              <w:t>产品底材的</w:t>
            </w:r>
            <w:proofErr w:type="gramEnd"/>
            <w:r>
              <w:rPr>
                <w:rStyle w:val="NormalCharacter"/>
                <w:rFonts w:ascii="宋体" w:hAnsi="宋体"/>
                <w:szCs w:val="21"/>
              </w:rPr>
              <w:t>粉末、油漆的涂装不良品脱漆。本品脱</w:t>
            </w:r>
            <w:proofErr w:type="gramStart"/>
            <w:r>
              <w:rPr>
                <w:rStyle w:val="NormalCharacter"/>
                <w:rFonts w:ascii="宋体" w:hAnsi="宋体"/>
                <w:szCs w:val="21"/>
              </w:rPr>
              <w:t>漆速度</w:t>
            </w:r>
            <w:proofErr w:type="gramEnd"/>
            <w:r>
              <w:rPr>
                <w:rStyle w:val="NormalCharacter"/>
                <w:rFonts w:ascii="宋体" w:hAnsi="宋体"/>
                <w:szCs w:val="21"/>
              </w:rPr>
              <w:t>快，</w:t>
            </w:r>
            <w:r>
              <w:rPr>
                <w:rStyle w:val="NormalCharacter"/>
                <w:rFonts w:ascii="宋体" w:hAnsi="宋体" w:hint="eastAsia"/>
                <w:szCs w:val="21"/>
              </w:rPr>
              <w:t>。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18" w:rsidRDefault="00783B18" w:rsidP="00821ABB">
            <w:pPr>
              <w:spacing w:before="240" w:line="36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</w:tbl>
    <w:p w:rsidR="00783B18" w:rsidRDefault="00420FDF" w:rsidP="00821ABB">
      <w:pPr>
        <w:spacing w:line="360" w:lineRule="exact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 w:hint="eastAsia"/>
          <w:b/>
          <w:sz w:val="30"/>
          <w:szCs w:val="30"/>
        </w:rPr>
        <w:t>产品技术要求：</w:t>
      </w:r>
    </w:p>
    <w:p w:rsidR="00783B18" w:rsidRDefault="00783B18" w:rsidP="00821ABB">
      <w:pPr>
        <w:spacing w:line="360" w:lineRule="exact"/>
        <w:rPr>
          <w:sz w:val="24"/>
        </w:rPr>
      </w:pPr>
    </w:p>
    <w:p w:rsidR="00783B18" w:rsidRDefault="00420FDF" w:rsidP="00821ABB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专业用于轮毂及轮毂相关关联件的脱漆。</w:t>
      </w:r>
    </w:p>
    <w:p w:rsidR="00783B18" w:rsidRDefault="00420FDF" w:rsidP="00821ABB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脱漆时效不能大于12小时。</w:t>
      </w:r>
    </w:p>
    <w:p w:rsidR="00783B18" w:rsidRDefault="00420FDF" w:rsidP="00821ABB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脱漆要求对轮毂材料无损伤。</w:t>
      </w:r>
    </w:p>
    <w:p w:rsidR="00783B18" w:rsidRDefault="00420FDF" w:rsidP="00821ABB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脱漆效果要彻底，</w:t>
      </w:r>
      <w:proofErr w:type="gramStart"/>
      <w:r>
        <w:rPr>
          <w:rFonts w:ascii="宋体" w:hAnsi="宋体" w:cs="宋体" w:hint="eastAsia"/>
          <w:sz w:val="24"/>
        </w:rPr>
        <w:t>其轮网</w:t>
      </w:r>
      <w:proofErr w:type="gramEnd"/>
      <w:r>
        <w:rPr>
          <w:rFonts w:ascii="宋体" w:hAnsi="宋体" w:cs="宋体" w:hint="eastAsia"/>
          <w:sz w:val="24"/>
        </w:rPr>
        <w:t>夹角处清理彻底。</w:t>
      </w:r>
    </w:p>
    <w:p w:rsidR="00783B18" w:rsidRDefault="00420FDF" w:rsidP="00821ABB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脱漆后，轮毂及工装防护不得变色不得有腐蚀现象。</w:t>
      </w:r>
    </w:p>
    <w:p w:rsidR="00783B18" w:rsidRDefault="00420FDF" w:rsidP="00821ABB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脱漆剂中不能含有硫酸、硝酸。</w:t>
      </w:r>
    </w:p>
    <w:p w:rsidR="00783B18" w:rsidRPr="00E728EF" w:rsidRDefault="00420FDF" w:rsidP="00821ABB">
      <w:pPr>
        <w:pStyle w:val="a7"/>
        <w:numPr>
          <w:ilvl w:val="0"/>
          <w:numId w:val="1"/>
        </w:numPr>
        <w:spacing w:line="360" w:lineRule="exact"/>
        <w:ind w:firstLineChars="0"/>
        <w:rPr>
          <w:rStyle w:val="NormalCharacter"/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脱漆后，不能影响轮毂的二次涂装，不得与油漆粉末起化学反应。</w:t>
      </w:r>
    </w:p>
    <w:p w:rsidR="00783B18" w:rsidRDefault="00420FDF" w:rsidP="00821ABB">
      <w:pPr>
        <w:spacing w:line="360" w:lineRule="exact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产品参数：</w:t>
      </w:r>
    </w:p>
    <w:p w:rsidR="00783B18" w:rsidRPr="00E728EF" w:rsidRDefault="00420FDF" w:rsidP="00821ABB">
      <w:pPr>
        <w:tabs>
          <w:tab w:val="left" w:pos="2200"/>
        </w:tabs>
        <w:spacing w:line="360" w:lineRule="exact"/>
        <w:ind w:firstLineChars="200" w:firstLine="4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颜色：浅色或浅棕色（目测）    密度：1.30</w:t>
      </w:r>
      <w:r>
        <w:rPr>
          <w:rStyle w:val="NormalCharacter"/>
          <w:rFonts w:ascii="宋体" w:hAnsi="宋体"/>
          <w:sz w:val="24"/>
          <w:u w:val="single" w:color="000000"/>
        </w:rPr>
        <w:t>+</w:t>
      </w:r>
      <w:r>
        <w:rPr>
          <w:rStyle w:val="NormalCharacter"/>
          <w:rFonts w:ascii="宋体" w:hAnsi="宋体"/>
          <w:sz w:val="24"/>
        </w:rPr>
        <w:t>0.08         PH值：2</w:t>
      </w:r>
      <w:r>
        <w:rPr>
          <w:rStyle w:val="NormalCharacter"/>
          <w:rFonts w:ascii="宋体" w:hAnsi="宋体"/>
          <w:sz w:val="24"/>
          <w:u w:val="single" w:color="000000"/>
        </w:rPr>
        <w:t>+</w:t>
      </w:r>
      <w:r>
        <w:rPr>
          <w:rStyle w:val="NormalCharacter"/>
          <w:rFonts w:ascii="宋体" w:hAnsi="宋体"/>
          <w:sz w:val="24"/>
        </w:rPr>
        <w:t>0.5（PH试纸）</w:t>
      </w:r>
    </w:p>
    <w:p w:rsidR="00783B18" w:rsidRDefault="00420FDF" w:rsidP="00821ABB">
      <w:pPr>
        <w:spacing w:line="360" w:lineRule="exact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使用说明：</w:t>
      </w:r>
    </w:p>
    <w:p w:rsidR="00783B18" w:rsidRDefault="00420FDF" w:rsidP="00821ABB">
      <w:pPr>
        <w:spacing w:line="360" w:lineRule="exact"/>
        <w:ind w:firstLineChars="50" w:firstLine="12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1、本品应在通风、无阳光照射或有通风设备的环境下使用，并佩戴防护专业用具。</w:t>
      </w:r>
    </w:p>
    <w:p w:rsidR="00783B18" w:rsidRDefault="00420FDF" w:rsidP="00821ABB">
      <w:pPr>
        <w:spacing w:line="360" w:lineRule="exact"/>
        <w:ind w:leftChars="50" w:left="465" w:hanging="36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2、将工件全部浸泡于脱漆剂原液中，待漆膜全部脱落后取出用清水冲洗干净即可。对于较大工件可采用涂刷式，用毛刷或棉纱布蘸取</w:t>
      </w:r>
      <w:r>
        <w:rPr>
          <w:rStyle w:val="NormalCharacter"/>
          <w:rFonts w:ascii="宋体" w:hAnsi="宋体" w:hint="eastAsia"/>
          <w:sz w:val="24"/>
        </w:rPr>
        <w:t>药</w:t>
      </w:r>
      <w:r>
        <w:rPr>
          <w:rStyle w:val="NormalCharacter"/>
          <w:rFonts w:ascii="宋体" w:hAnsi="宋体"/>
          <w:sz w:val="24"/>
        </w:rPr>
        <w:t>剂涂于脱漆部位。反复涂刷直至漆膜脱落为止。</w:t>
      </w:r>
    </w:p>
    <w:p w:rsidR="00783B18" w:rsidRDefault="00420FDF" w:rsidP="00821ABB">
      <w:pPr>
        <w:spacing w:line="360" w:lineRule="exact"/>
        <w:ind w:leftChars="57" w:left="480" w:hanging="36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3、若涂层在加工过程中受热时间过长，温度过高或过低或涂层太薄，均会造成漆膜不能成块脱落速度过慢。</w:t>
      </w:r>
    </w:p>
    <w:p w:rsidR="00783B18" w:rsidRDefault="00420FDF" w:rsidP="00821ABB">
      <w:pPr>
        <w:spacing w:line="360" w:lineRule="exact"/>
        <w:ind w:leftChars="50" w:left="465" w:hanging="36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4、本品在使用或搬运本品时，操作工人应戴耐酸碱手套，防毒口罩、胶鞋并小心轻放。若不慎将脱漆剂溅到皮肤或衣物上，请立即</w:t>
      </w:r>
      <w:r>
        <w:rPr>
          <w:rStyle w:val="NormalCharacter"/>
          <w:rFonts w:ascii="宋体" w:hAnsi="宋体" w:hint="eastAsia"/>
          <w:sz w:val="24"/>
        </w:rPr>
        <w:t>用干净</w:t>
      </w:r>
      <w:r>
        <w:rPr>
          <w:rStyle w:val="NormalCharacter"/>
          <w:rFonts w:ascii="宋体" w:hAnsi="宋体"/>
          <w:sz w:val="24"/>
        </w:rPr>
        <w:t>布或纸巾擦干后，用清水冲洗，并立即就医。</w:t>
      </w:r>
    </w:p>
    <w:bookmarkEnd w:id="0"/>
    <w:p w:rsidR="00783B18" w:rsidRDefault="00420FDF">
      <w:pPr>
        <w:tabs>
          <w:tab w:val="left" w:pos="3860"/>
        </w:tabs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ab/>
      </w:r>
    </w:p>
    <w:sectPr w:rsidR="00783B1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FF" w:rsidRDefault="00B852FF">
      <w:r>
        <w:separator/>
      </w:r>
    </w:p>
  </w:endnote>
  <w:endnote w:type="continuationSeparator" w:id="0">
    <w:p w:rsidR="00B852FF" w:rsidRDefault="00B8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18" w:rsidRDefault="00783B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FF" w:rsidRDefault="00B852FF">
      <w:r>
        <w:separator/>
      </w:r>
    </w:p>
  </w:footnote>
  <w:footnote w:type="continuationSeparator" w:id="0">
    <w:p w:rsidR="00B852FF" w:rsidRDefault="00B8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B45"/>
    <w:multiLevelType w:val="multilevel"/>
    <w:tmpl w:val="07C11B4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F7"/>
    <w:rsid w:val="00420FDF"/>
    <w:rsid w:val="004315D7"/>
    <w:rsid w:val="006D09AF"/>
    <w:rsid w:val="00783B18"/>
    <w:rsid w:val="00821ABB"/>
    <w:rsid w:val="00B852FF"/>
    <w:rsid w:val="00D82FF7"/>
    <w:rsid w:val="00E728EF"/>
    <w:rsid w:val="00E8742D"/>
    <w:rsid w:val="2BA7306D"/>
    <w:rsid w:val="340D129B"/>
    <w:rsid w:val="6AD31C63"/>
    <w:rsid w:val="72E2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B7FC56"/>
  <w15:docId w15:val="{47EFDCE1-1445-43A2-8E83-E07F77A5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青</dc:creator>
  <cp:lastModifiedBy>yan</cp:lastModifiedBy>
  <cp:revision>5</cp:revision>
  <dcterms:created xsi:type="dcterms:W3CDTF">2022-07-11T06:48:00Z</dcterms:created>
  <dcterms:modified xsi:type="dcterms:W3CDTF">2022-07-11T08:17:00Z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