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6" w:lineRule="auto"/>
        <w:ind w:left="0"/>
      </w:pPr>
      <w:r>
        <w:fldChar w:fldCharType="begin"/>
      </w:r>
      <w:r>
        <w:instrText xml:space="preserve"> HYPERLINK \l "_Toc426110068" </w:instrText>
      </w:r>
      <w:r>
        <w:fldChar w:fldCharType="separate"/>
      </w:r>
      <w:bookmarkStart w:id="0" w:name="_Toc68764209"/>
      <w:r>
        <w:rPr>
          <w:rFonts w:hint="eastAsia"/>
        </w:rPr>
        <w:t>供货范围</w:t>
      </w:r>
      <w:bookmarkEnd w:id="0"/>
      <w:r>
        <w:rPr>
          <w:rFonts w:hint="eastAsia"/>
        </w:rPr>
        <w:fldChar w:fldCharType="end"/>
      </w:r>
    </w:p>
    <w:p>
      <w:pPr>
        <w:spacing w:line="276" w:lineRule="auto"/>
        <w:ind w:right="210" w:rightChars="100" w:firstLine="480"/>
      </w:pPr>
      <w:bookmarkStart w:id="53" w:name="_GoBack"/>
      <w:bookmarkEnd w:id="53"/>
      <w:r>
        <w:t>负责</w:t>
      </w:r>
      <w:r>
        <w:rPr>
          <w:rFonts w:hint="eastAsia"/>
        </w:rPr>
        <w:t>吉利百矿用户中心</w:t>
      </w:r>
      <w:r>
        <w:t>项目的功能软件方案设计、</w:t>
      </w:r>
      <w:r>
        <w:rPr>
          <w:rFonts w:hint="eastAsia"/>
        </w:rPr>
        <w:t>标准产品部署、定制化</w:t>
      </w:r>
      <w:r>
        <w:t>开发、</w:t>
      </w:r>
      <w:r>
        <w:rPr>
          <w:rFonts w:hint="eastAsia"/>
        </w:rPr>
        <w:t>上线调试</w:t>
      </w:r>
      <w:r>
        <w:t>、培训及</w:t>
      </w:r>
      <w:r>
        <w:rPr>
          <w:rFonts w:hint="eastAsia"/>
        </w:rPr>
        <w:t>运维支持</w:t>
      </w:r>
      <w:r>
        <w:t>相关软件产品部署</w:t>
      </w:r>
      <w:r>
        <w:rPr>
          <w:rFonts w:hint="eastAsia"/>
        </w:rPr>
        <w:t>。</w:t>
      </w:r>
    </w:p>
    <w:p>
      <w:pPr>
        <w:pStyle w:val="2"/>
        <w:spacing w:line="276" w:lineRule="auto"/>
        <w:ind w:left="0"/>
      </w:pPr>
      <w:r>
        <w:rPr>
          <w:rFonts w:hint="eastAsia"/>
        </w:rPr>
        <w:t>系统软件功能清单</w:t>
      </w:r>
    </w:p>
    <w:p>
      <w:pPr>
        <w:spacing w:line="276" w:lineRule="auto"/>
        <w:ind w:firstLine="480"/>
        <w:jc w:val="left"/>
        <w:rPr>
          <w:rFonts w:ascii="宋体" w:hAnsi="宋体"/>
          <w:color w:val="000000"/>
          <w:szCs w:val="21"/>
        </w:rPr>
      </w:pPr>
      <w:r>
        <w:rPr>
          <w:rFonts w:hint="eastAsia" w:ascii="宋体" w:hAnsi="宋体"/>
          <w:color w:val="000000"/>
          <w:szCs w:val="21"/>
        </w:rPr>
        <w:t>本技术协议所指项目实施的业务范围，即实施模块所需满足的业务需求范围，包括且仅限于下表所列内容：</w:t>
      </w:r>
    </w:p>
    <w:tbl>
      <w:tblPr>
        <w:tblStyle w:val="4"/>
        <w:tblpPr w:leftFromText="180" w:rightFromText="180" w:vertAnchor="text" w:horzAnchor="page" w:tblpX="1377" w:tblpY="327"/>
        <w:tblOverlap w:val="never"/>
        <w:tblW w:w="10260" w:type="dxa"/>
        <w:tblInd w:w="0" w:type="dxa"/>
        <w:tblLayout w:type="autofit"/>
        <w:tblCellMar>
          <w:top w:w="0" w:type="dxa"/>
          <w:left w:w="108" w:type="dxa"/>
          <w:bottom w:w="0" w:type="dxa"/>
          <w:right w:w="108" w:type="dxa"/>
        </w:tblCellMar>
      </w:tblPr>
      <w:tblGrid>
        <w:gridCol w:w="1620"/>
        <w:gridCol w:w="1840"/>
        <w:gridCol w:w="2380"/>
        <w:gridCol w:w="4420"/>
      </w:tblGrid>
      <w:tr>
        <w:tblPrEx>
          <w:tblCellMar>
            <w:top w:w="0" w:type="dxa"/>
            <w:left w:w="108" w:type="dxa"/>
            <w:bottom w:w="0" w:type="dxa"/>
            <w:right w:w="108" w:type="dxa"/>
          </w:tblCellMar>
        </w:tblPrEx>
        <w:trPr>
          <w:trHeight w:val="650" w:hRule="atLeast"/>
        </w:trPr>
        <w:tc>
          <w:tcPr>
            <w:tcW w:w="1620" w:type="dxa"/>
            <w:tcBorders>
              <w:top w:val="single" w:color="auto" w:sz="4" w:space="0"/>
              <w:left w:val="single" w:color="auto" w:sz="4" w:space="0"/>
              <w:bottom w:val="single" w:color="auto" w:sz="4" w:space="0"/>
              <w:right w:val="single" w:color="auto" w:sz="4" w:space="0"/>
            </w:tcBorders>
            <w:shd w:val="clear" w:color="000000" w:fill="000000"/>
            <w:vAlign w:val="center"/>
          </w:tcPr>
          <w:p>
            <w:pPr>
              <w:widowControl/>
              <w:spacing w:line="276" w:lineRule="auto"/>
              <w:jc w:val="center"/>
              <w:rPr>
                <w:rFonts w:ascii="微软雅黑" w:hAnsi="微软雅黑" w:eastAsia="微软雅黑" w:cs="宋体"/>
                <w:b/>
                <w:bCs/>
                <w:color w:val="FFFFFF"/>
                <w:kern w:val="0"/>
                <w:sz w:val="22"/>
                <w:szCs w:val="22"/>
              </w:rPr>
            </w:pPr>
            <w:r>
              <w:rPr>
                <w:rFonts w:hint="eastAsia" w:ascii="微软雅黑" w:hAnsi="微软雅黑" w:eastAsia="微软雅黑" w:cs="宋体"/>
                <w:b/>
                <w:bCs/>
                <w:color w:val="FFFFFF"/>
                <w:kern w:val="0"/>
                <w:sz w:val="22"/>
                <w:szCs w:val="22"/>
              </w:rPr>
              <w:t>一级功能</w:t>
            </w:r>
          </w:p>
        </w:tc>
        <w:tc>
          <w:tcPr>
            <w:tcW w:w="1840" w:type="dxa"/>
            <w:tcBorders>
              <w:top w:val="single" w:color="auto" w:sz="4" w:space="0"/>
              <w:left w:val="nil"/>
              <w:bottom w:val="single" w:color="auto" w:sz="4" w:space="0"/>
              <w:right w:val="single" w:color="auto" w:sz="4" w:space="0"/>
            </w:tcBorders>
            <w:shd w:val="clear" w:color="000000" w:fill="000000"/>
            <w:vAlign w:val="center"/>
          </w:tcPr>
          <w:p>
            <w:pPr>
              <w:widowControl/>
              <w:spacing w:line="276" w:lineRule="auto"/>
              <w:jc w:val="left"/>
              <w:rPr>
                <w:rFonts w:ascii="微软雅黑" w:hAnsi="微软雅黑" w:eastAsia="微软雅黑" w:cs="宋体"/>
                <w:b/>
                <w:bCs/>
                <w:color w:val="FFFFFF"/>
                <w:kern w:val="0"/>
                <w:sz w:val="22"/>
                <w:szCs w:val="22"/>
              </w:rPr>
            </w:pPr>
            <w:r>
              <w:rPr>
                <w:rFonts w:hint="eastAsia" w:ascii="微软雅黑" w:hAnsi="微软雅黑" w:eastAsia="微软雅黑" w:cs="宋体"/>
                <w:b/>
                <w:bCs/>
                <w:color w:val="FFFFFF"/>
                <w:kern w:val="0"/>
                <w:sz w:val="22"/>
                <w:szCs w:val="22"/>
              </w:rPr>
              <w:t>二级功能</w:t>
            </w:r>
          </w:p>
        </w:tc>
        <w:tc>
          <w:tcPr>
            <w:tcW w:w="2380" w:type="dxa"/>
            <w:tcBorders>
              <w:top w:val="single" w:color="auto" w:sz="4" w:space="0"/>
              <w:left w:val="nil"/>
              <w:bottom w:val="single" w:color="auto" w:sz="4" w:space="0"/>
              <w:right w:val="single" w:color="auto" w:sz="4" w:space="0"/>
            </w:tcBorders>
            <w:shd w:val="clear" w:color="000000" w:fill="000000"/>
            <w:vAlign w:val="center"/>
          </w:tcPr>
          <w:p>
            <w:pPr>
              <w:widowControl/>
              <w:spacing w:line="276" w:lineRule="auto"/>
              <w:jc w:val="center"/>
              <w:rPr>
                <w:rFonts w:ascii="微软雅黑" w:hAnsi="微软雅黑" w:eastAsia="微软雅黑" w:cs="宋体"/>
                <w:b/>
                <w:bCs/>
                <w:color w:val="FFFFFF"/>
                <w:kern w:val="0"/>
                <w:sz w:val="22"/>
                <w:szCs w:val="22"/>
              </w:rPr>
            </w:pPr>
            <w:r>
              <w:rPr>
                <w:rFonts w:hint="eastAsia" w:ascii="微软雅黑" w:hAnsi="微软雅黑" w:eastAsia="微软雅黑" w:cs="宋体"/>
                <w:b/>
                <w:bCs/>
                <w:color w:val="FFFFFF"/>
                <w:kern w:val="0"/>
                <w:sz w:val="22"/>
                <w:szCs w:val="22"/>
              </w:rPr>
              <w:t>三级功能</w:t>
            </w:r>
          </w:p>
        </w:tc>
        <w:tc>
          <w:tcPr>
            <w:tcW w:w="4420" w:type="dxa"/>
            <w:tcBorders>
              <w:top w:val="single" w:color="auto" w:sz="4" w:space="0"/>
              <w:left w:val="nil"/>
              <w:bottom w:val="single" w:color="auto" w:sz="4" w:space="0"/>
              <w:right w:val="single" w:color="auto" w:sz="4" w:space="0"/>
            </w:tcBorders>
            <w:shd w:val="clear" w:color="000000" w:fill="000000"/>
            <w:vAlign w:val="center"/>
          </w:tcPr>
          <w:p>
            <w:pPr>
              <w:widowControl/>
              <w:spacing w:line="276" w:lineRule="auto"/>
              <w:jc w:val="center"/>
              <w:rPr>
                <w:rFonts w:ascii="微软雅黑" w:hAnsi="微软雅黑" w:eastAsia="微软雅黑" w:cs="宋体"/>
                <w:b/>
                <w:bCs/>
                <w:color w:val="FFFFFF"/>
                <w:kern w:val="0"/>
                <w:sz w:val="22"/>
                <w:szCs w:val="22"/>
              </w:rPr>
            </w:pPr>
            <w:r>
              <w:rPr>
                <w:rFonts w:hint="eastAsia" w:ascii="微软雅黑" w:hAnsi="微软雅黑" w:eastAsia="微软雅黑" w:cs="宋体"/>
                <w:b/>
                <w:bCs/>
                <w:color w:val="FFFFFF"/>
                <w:kern w:val="0"/>
                <w:sz w:val="22"/>
                <w:szCs w:val="22"/>
              </w:rPr>
              <w:t>功能描述</w:t>
            </w:r>
          </w:p>
        </w:tc>
      </w:tr>
      <w:tr>
        <w:tblPrEx>
          <w:tblCellMar>
            <w:top w:w="0" w:type="dxa"/>
            <w:left w:w="108" w:type="dxa"/>
            <w:bottom w:w="0" w:type="dxa"/>
            <w:right w:w="108" w:type="dxa"/>
          </w:tblCellMar>
        </w:tblPrEx>
        <w:trPr>
          <w:trHeight w:val="330" w:hRule="atLeast"/>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账号管理</w:t>
            </w:r>
          </w:p>
        </w:tc>
        <w:tc>
          <w:tcPr>
            <w:tcW w:w="18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用户账号</w:t>
            </w: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用户列表展示</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以列表的形式展示所有用户信息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用户信息查询</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支持对用户进行查询条件的搜索</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新增用户</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创建新的用户信息（注册）</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编辑用户</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编辑对应的用户信息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启用/停用</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启用/停用用户，停用后将无法登录</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删除用户</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删除对应的用户信息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登录</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用户密码登录</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员工账号</w:t>
            </w: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员工列表展示</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以列表的形式展示所有员工账号</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员工信息查询</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支持对员工进行查询条件的搜索</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新增员工</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创建新的员工账号</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编辑员工</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编辑对应的员工信息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启用/停用</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启用/停用员工，停用后将无法登录</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删除员工</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删除对应的员工信息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登录</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通过手机号或登录名登录</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授权</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通过绑定角色为账号授权</w:t>
            </w:r>
          </w:p>
        </w:tc>
      </w:tr>
      <w:tr>
        <w:tblPrEx>
          <w:tblCellMar>
            <w:top w:w="0" w:type="dxa"/>
            <w:left w:w="108" w:type="dxa"/>
            <w:bottom w:w="0" w:type="dxa"/>
            <w:right w:w="108" w:type="dxa"/>
          </w:tblCellMar>
        </w:tblPrEx>
        <w:trPr>
          <w:trHeight w:val="330" w:hRule="atLeast"/>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组织管理</w:t>
            </w:r>
          </w:p>
        </w:tc>
        <w:tc>
          <w:tcPr>
            <w:tcW w:w="18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组织列表</w:t>
            </w: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新增同级组织</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创建选中的组织的同一级组织</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新增下级组织</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创建选中的组织的下一级组织</w:t>
            </w:r>
          </w:p>
        </w:tc>
      </w:tr>
      <w:tr>
        <w:tblPrEx>
          <w:tblCellMar>
            <w:top w:w="0" w:type="dxa"/>
            <w:left w:w="108" w:type="dxa"/>
            <w:bottom w:w="0" w:type="dxa"/>
            <w:right w:w="108" w:type="dxa"/>
          </w:tblCellMar>
        </w:tblPrEx>
        <w:trPr>
          <w:trHeight w:val="66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删除组织</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删除选中的组织（该组织的下级组织也会一起删除）</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编辑组织</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编辑选中的组织信息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组织信息展示</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展示选中的组织信息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组织树</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树状展开组织，进行选择操作</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批量导入/导出</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对当前租户的组织进行批量导入或导出</w:t>
            </w:r>
          </w:p>
        </w:tc>
      </w:tr>
      <w:tr>
        <w:tblPrEx>
          <w:tblCellMar>
            <w:top w:w="0" w:type="dxa"/>
            <w:left w:w="108" w:type="dxa"/>
            <w:bottom w:w="0" w:type="dxa"/>
            <w:right w:w="108" w:type="dxa"/>
          </w:tblCellMar>
        </w:tblPrEx>
        <w:trPr>
          <w:trHeight w:val="330" w:hRule="atLeast"/>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菜单管理</w:t>
            </w:r>
          </w:p>
        </w:tc>
        <w:tc>
          <w:tcPr>
            <w:tcW w:w="18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菜单列表</w:t>
            </w: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应用列表</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展示所有应用（左侧竖排）</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菜单树</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树状展开菜单，进行选择操作</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新增同级菜单</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创建选中的菜单的同一级菜单</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新增下级菜单</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创建选中的菜单的下一级菜单</w:t>
            </w:r>
          </w:p>
        </w:tc>
      </w:tr>
      <w:tr>
        <w:tblPrEx>
          <w:tblCellMar>
            <w:top w:w="0" w:type="dxa"/>
            <w:left w:w="108" w:type="dxa"/>
            <w:bottom w:w="0" w:type="dxa"/>
            <w:right w:w="108" w:type="dxa"/>
          </w:tblCellMar>
        </w:tblPrEx>
        <w:trPr>
          <w:trHeight w:val="66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删除菜单</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删除选中的菜单（该菜单的下级菜单也会一起删除）</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编辑菜单</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编辑选中的菜单信息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菜单信息展示</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展示选中的菜单信息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批量导入/导出</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对当前应用的的菜单进行批量导入或导出</w:t>
            </w:r>
          </w:p>
        </w:tc>
      </w:tr>
      <w:tr>
        <w:tblPrEx>
          <w:tblCellMar>
            <w:top w:w="0" w:type="dxa"/>
            <w:left w:w="108" w:type="dxa"/>
            <w:bottom w:w="0" w:type="dxa"/>
            <w:right w:w="108" w:type="dxa"/>
          </w:tblCellMar>
        </w:tblPrEx>
        <w:trPr>
          <w:trHeight w:val="330" w:hRule="atLeast"/>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角色管理</w:t>
            </w:r>
          </w:p>
        </w:tc>
        <w:tc>
          <w:tcPr>
            <w:tcW w:w="18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角色列表</w:t>
            </w: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应用列表</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展示所有应用（左侧竖排）</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角色列表展示</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以列表的形式展示所有角色信息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角色信息查询</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支持对角色进行查询条件的搜索</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新增角色</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创建新的角色信息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编辑角色</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编辑对应的角色信息</w:t>
            </w:r>
          </w:p>
        </w:tc>
      </w:tr>
      <w:tr>
        <w:tblPrEx>
          <w:tblCellMar>
            <w:top w:w="0" w:type="dxa"/>
            <w:left w:w="108" w:type="dxa"/>
            <w:bottom w:w="0" w:type="dxa"/>
            <w:right w:w="108" w:type="dxa"/>
          </w:tblCellMar>
        </w:tblPrEx>
        <w:trPr>
          <w:trHeight w:val="66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启用/停用角色</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启用/停用角色，停用后授权该角色的用户将失去对应权限</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删除角色</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删除对应的角色信息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菜单授权</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优化菜单授权，单独从编辑角色中剥离出来</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数据授权</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针对角色进行数据授权</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查看菜单授权</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查看该角色已经具备的菜单授权内容</w:t>
            </w:r>
          </w:p>
        </w:tc>
      </w:tr>
      <w:tr>
        <w:tblPrEx>
          <w:tblCellMar>
            <w:top w:w="0" w:type="dxa"/>
            <w:left w:w="108" w:type="dxa"/>
            <w:bottom w:w="0" w:type="dxa"/>
            <w:right w:w="108" w:type="dxa"/>
          </w:tblCellMar>
        </w:tblPrEx>
        <w:trPr>
          <w:trHeight w:val="330" w:hRule="atLeast"/>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应用管理</w:t>
            </w:r>
          </w:p>
        </w:tc>
        <w:tc>
          <w:tcPr>
            <w:tcW w:w="18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应用列表</w:t>
            </w: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应用列表</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展示所有应用</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应用详情</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查询应用详情信息</w:t>
            </w:r>
          </w:p>
        </w:tc>
      </w:tr>
      <w:tr>
        <w:tblPrEx>
          <w:tblCellMar>
            <w:top w:w="0" w:type="dxa"/>
            <w:left w:w="108" w:type="dxa"/>
            <w:bottom w:w="0" w:type="dxa"/>
            <w:right w:w="108" w:type="dxa"/>
          </w:tblCellMar>
        </w:tblPrEx>
        <w:trPr>
          <w:trHeight w:val="66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编辑应用</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可设置应用管理员，修改应用ID以及回调地址</w:t>
            </w:r>
          </w:p>
        </w:tc>
      </w:tr>
      <w:tr>
        <w:tblPrEx>
          <w:tblCellMar>
            <w:top w:w="0" w:type="dxa"/>
            <w:left w:w="108" w:type="dxa"/>
            <w:bottom w:w="0" w:type="dxa"/>
            <w:right w:w="108" w:type="dxa"/>
          </w:tblCellMar>
        </w:tblPrEx>
        <w:trPr>
          <w:trHeight w:val="330" w:hRule="atLeast"/>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接口管理</w:t>
            </w:r>
          </w:p>
        </w:tc>
        <w:tc>
          <w:tcPr>
            <w:tcW w:w="18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接口列表</w:t>
            </w: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应用列表</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展示所有应用（左侧竖排）</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接口列表展示</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以列表的形式展示所有接口信息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接口信息查询</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支持对接口进行查询条件的搜索</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新增接口</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创建新的接口信息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编辑接口</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编辑对应的接口信息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删除接口</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删除对应的接口信息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批量导入/导出</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对当前应用的的接口进行批量导入或导出</w:t>
            </w:r>
          </w:p>
        </w:tc>
      </w:tr>
      <w:tr>
        <w:tblPrEx>
          <w:tblCellMar>
            <w:top w:w="0" w:type="dxa"/>
            <w:left w:w="108" w:type="dxa"/>
            <w:bottom w:w="0" w:type="dxa"/>
            <w:right w:w="108" w:type="dxa"/>
          </w:tblCellMar>
        </w:tblPrEx>
        <w:trPr>
          <w:trHeight w:val="330" w:hRule="atLeast"/>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数据权限</w:t>
            </w:r>
          </w:p>
        </w:tc>
        <w:tc>
          <w:tcPr>
            <w:tcW w:w="18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标识列表</w:t>
            </w: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应用列表</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展示所有应用（左侧竖排）</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标识列表展示</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以列表的形式展示所有标识信息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标识信息查询</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支持对标识进行查询条件的搜索</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新增标识</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创建新的标识信息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编辑标识</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编辑对应的标识信息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删除标识</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删除对应的标识信息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标识分组管理</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针对标识分组的创建、删除和编辑</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批量导入/导出</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对当前应用的的标识进行批量导入或导出</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等线" w:hAnsi="等线" w:eastAsia="等线" w:cs="宋体"/>
                <w:color w:val="000000"/>
                <w:kern w:val="0"/>
                <w:sz w:val="24"/>
              </w:rPr>
            </w:pPr>
            <w:r>
              <w:rPr>
                <w:rFonts w:hint="eastAsia" w:ascii="等线" w:hAnsi="等线" w:eastAsia="等线" w:cs="宋体"/>
                <w:color w:val="000000"/>
                <w:kern w:val="0"/>
                <w:sz w:val="24"/>
              </w:rPr>
              <w:t>字段列表</w:t>
            </w: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应用列表</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展示所有应用（左侧竖排）</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宋体"/>
                <w:color w:val="000000"/>
                <w:kern w:val="0"/>
                <w:sz w:val="24"/>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字段列表展示</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以列表的形式展示所有权限字段信息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宋体"/>
                <w:color w:val="000000"/>
                <w:kern w:val="0"/>
                <w:sz w:val="24"/>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字段信息查询</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支持对权限字段进行查询条件的搜索</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宋体"/>
                <w:color w:val="000000"/>
                <w:kern w:val="0"/>
                <w:sz w:val="24"/>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新增字段</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创建新的权限字段信息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宋体"/>
                <w:color w:val="000000"/>
                <w:kern w:val="0"/>
                <w:sz w:val="24"/>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编辑字段</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编辑对应的权限字段信息</w:t>
            </w:r>
          </w:p>
        </w:tc>
      </w:tr>
      <w:tr>
        <w:tblPrEx>
          <w:tblCellMar>
            <w:top w:w="0" w:type="dxa"/>
            <w:left w:w="108" w:type="dxa"/>
            <w:bottom w:w="0" w:type="dxa"/>
            <w:right w:w="108" w:type="dxa"/>
          </w:tblCellMar>
        </w:tblPrEx>
        <w:trPr>
          <w:trHeight w:val="33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宋体"/>
                <w:color w:val="000000"/>
                <w:kern w:val="0"/>
                <w:sz w:val="24"/>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删除字段</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删除对应的权限字段信息</w:t>
            </w:r>
          </w:p>
        </w:tc>
      </w:tr>
      <w:tr>
        <w:tblPrEx>
          <w:tblCellMar>
            <w:top w:w="0" w:type="dxa"/>
            <w:left w:w="108" w:type="dxa"/>
            <w:bottom w:w="0" w:type="dxa"/>
            <w:right w:w="108" w:type="dxa"/>
          </w:tblCellMar>
        </w:tblPrEx>
        <w:trPr>
          <w:trHeight w:val="66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宋体"/>
                <w:color w:val="000000"/>
                <w:kern w:val="0"/>
                <w:sz w:val="24"/>
              </w:rPr>
            </w:pP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批量导入/导出</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对当前应用的的权限字段进行批量导入或导出</w:t>
            </w:r>
          </w:p>
        </w:tc>
      </w:tr>
      <w:tr>
        <w:tblPrEx>
          <w:tblCellMar>
            <w:top w:w="0" w:type="dxa"/>
            <w:left w:w="108" w:type="dxa"/>
            <w:bottom w:w="0" w:type="dxa"/>
            <w:right w:w="108" w:type="dxa"/>
          </w:tblCellMar>
        </w:tblPrEx>
        <w:trPr>
          <w:trHeight w:val="330" w:hRule="atLeast"/>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日志管理</w:t>
            </w:r>
          </w:p>
        </w:tc>
        <w:tc>
          <w:tcPr>
            <w:tcW w:w="184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登录日志</w:t>
            </w: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查询</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记录每一次登录的时间、账号、浏览器</w:t>
            </w:r>
          </w:p>
        </w:tc>
      </w:tr>
      <w:tr>
        <w:tblPrEx>
          <w:tblCellMar>
            <w:top w:w="0" w:type="dxa"/>
            <w:left w:w="108" w:type="dxa"/>
            <w:bottom w:w="0" w:type="dxa"/>
            <w:right w:w="108" w:type="dxa"/>
          </w:tblCellMar>
        </w:tblPrEx>
        <w:trPr>
          <w:trHeight w:val="66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系统日志</w:t>
            </w: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查询</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每一次数据库变动时记录操作时间、账号、应用、浏览器</w:t>
            </w:r>
          </w:p>
        </w:tc>
      </w:tr>
      <w:tr>
        <w:tblPrEx>
          <w:tblCellMar>
            <w:top w:w="0" w:type="dxa"/>
            <w:left w:w="108" w:type="dxa"/>
            <w:bottom w:w="0" w:type="dxa"/>
            <w:right w:w="108" w:type="dxa"/>
          </w:tblCellMar>
        </w:tblPrEx>
        <w:trPr>
          <w:trHeight w:val="660" w:hRule="atLeast"/>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页面修改</w:t>
            </w:r>
          </w:p>
        </w:tc>
        <w:tc>
          <w:tcPr>
            <w:tcW w:w="184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权限管理</w:t>
            </w: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列表页</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背景色为白色；暂无数据添加图像；增加无权限页面</w:t>
            </w:r>
          </w:p>
        </w:tc>
      </w:tr>
      <w:tr>
        <w:tblPrEx>
          <w:tblCellMar>
            <w:top w:w="0" w:type="dxa"/>
            <w:left w:w="108" w:type="dxa"/>
            <w:bottom w:w="0" w:type="dxa"/>
            <w:right w:w="108" w:type="dxa"/>
          </w:tblCellMar>
        </w:tblPrEx>
        <w:trPr>
          <w:trHeight w:val="66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用户管理</w:t>
            </w: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员工账号</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背景色为白色；暂无数据添加图像；增加无权限页面</w:t>
            </w:r>
          </w:p>
        </w:tc>
      </w:tr>
      <w:tr>
        <w:tblPrEx>
          <w:tblCellMar>
            <w:top w:w="0" w:type="dxa"/>
            <w:left w:w="108" w:type="dxa"/>
            <w:bottom w:w="0" w:type="dxa"/>
            <w:right w:w="108" w:type="dxa"/>
          </w:tblCellMar>
        </w:tblPrEx>
        <w:trPr>
          <w:trHeight w:val="66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微软雅黑" w:hAnsi="微软雅黑" w:eastAsia="微软雅黑" w:cs="宋体"/>
                <w:color w:val="000000"/>
                <w:kern w:val="0"/>
                <w:sz w:val="22"/>
                <w:szCs w:val="22"/>
              </w:rPr>
            </w:pPr>
          </w:p>
        </w:tc>
        <w:tc>
          <w:tcPr>
            <w:tcW w:w="184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角色管理</w:t>
            </w:r>
          </w:p>
        </w:tc>
        <w:tc>
          <w:tcPr>
            <w:tcW w:w="23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角色列表</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背景色为白色；暂无数据添加图像；增加无权限页面</w:t>
            </w:r>
          </w:p>
        </w:tc>
      </w:tr>
      <w:tr>
        <w:tblPrEx>
          <w:tblCellMar>
            <w:top w:w="0" w:type="dxa"/>
            <w:left w:w="108" w:type="dxa"/>
            <w:bottom w:w="0" w:type="dxa"/>
            <w:right w:w="108" w:type="dxa"/>
          </w:tblCellMar>
        </w:tblPrEx>
        <w:trPr>
          <w:trHeight w:val="33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用户导入工具</w:t>
            </w:r>
          </w:p>
        </w:tc>
        <w:tc>
          <w:tcPr>
            <w:tcW w:w="422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76" w:lineRule="auto"/>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Excel表导入用户数据（含部门）</w:t>
            </w:r>
          </w:p>
        </w:tc>
        <w:tc>
          <w:tcPr>
            <w:tcW w:w="442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　</w:t>
            </w:r>
          </w:p>
        </w:tc>
      </w:tr>
    </w:tbl>
    <w:p/>
    <w:p>
      <w:pPr>
        <w:pStyle w:val="2"/>
        <w:spacing w:line="276" w:lineRule="auto"/>
        <w:ind w:left="0"/>
      </w:pPr>
      <w:r>
        <w:rPr>
          <w:rFonts w:hint="eastAsia"/>
        </w:rPr>
        <w:t>系统非功能要求</w:t>
      </w:r>
    </w:p>
    <w:p>
      <w:pPr>
        <w:pStyle w:val="3"/>
        <w:spacing w:line="276" w:lineRule="auto"/>
        <w:ind w:left="0"/>
      </w:pPr>
      <w:bookmarkStart w:id="1" w:name="_Toc46056366"/>
      <w:bookmarkStart w:id="2" w:name="_Toc516492521"/>
      <w:bookmarkStart w:id="3" w:name="_Toc46163737"/>
      <w:bookmarkStart w:id="4" w:name="_Toc37096674"/>
      <w:bookmarkStart w:id="5" w:name="_Toc89378797"/>
      <w:bookmarkStart w:id="6" w:name="_Toc503634240"/>
      <w:r>
        <w:rPr>
          <w:rFonts w:hint="eastAsia"/>
        </w:rPr>
        <w:t>系统稳定性</w:t>
      </w:r>
      <w:bookmarkEnd w:id="1"/>
      <w:bookmarkEnd w:id="2"/>
      <w:bookmarkEnd w:id="3"/>
      <w:bookmarkEnd w:id="4"/>
      <w:bookmarkEnd w:id="5"/>
      <w:bookmarkEnd w:id="6"/>
    </w:p>
    <w:p>
      <w:pPr>
        <w:spacing w:line="276" w:lineRule="auto"/>
        <w:ind w:firstLine="480"/>
        <w:rPr>
          <w:rFonts w:ascii="宋体" w:hAnsi="宋体"/>
        </w:rPr>
      </w:pPr>
      <w:r>
        <w:rPr>
          <w:rFonts w:ascii="宋体" w:hAnsi="宋体"/>
        </w:rPr>
        <w:t>提供成熟的、稳定、容错性、兼容性和易恢复性俱佳的</w:t>
      </w:r>
      <w:r>
        <w:rPr>
          <w:rFonts w:hint="eastAsia" w:ascii="宋体" w:hAnsi="宋体"/>
        </w:rPr>
        <w:t>用户中心系统</w:t>
      </w:r>
      <w:r>
        <w:rPr>
          <w:rFonts w:ascii="宋体" w:hAnsi="宋体"/>
        </w:rPr>
        <w:t>。</w:t>
      </w:r>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支持连续7×24小时不间断地工作，</w:t>
      </w:r>
      <w:r>
        <w:rPr>
          <w:rFonts w:hint="eastAsia" w:ascii="宋体" w:hAnsi="宋体"/>
        </w:rPr>
        <w:t>单次平均响应时间小于1秒</w:t>
      </w:r>
      <w:r>
        <w:rPr>
          <w:rFonts w:ascii="宋体" w:hAnsi="宋体"/>
        </w:rPr>
        <w:t>。</w:t>
      </w:r>
    </w:p>
    <w:p>
      <w:pPr>
        <w:spacing w:line="276" w:lineRule="auto"/>
        <w:ind w:firstLine="480"/>
        <w:rPr>
          <w:rFonts w:ascii="宋体" w:hAnsi="宋体"/>
        </w:rPr>
      </w:pPr>
      <w:r>
        <w:rPr>
          <w:rFonts w:hint="eastAsia" w:ascii="宋体" w:hAnsi="宋体"/>
        </w:rPr>
        <w:t>系统采用灾备设计，确保任何意外故障不会导致数据丢失并可于故障排除之后快速恢复服务。系统无法使用时可切回原有模式。提供所有服务和组件运行日志。</w:t>
      </w:r>
    </w:p>
    <w:p>
      <w:pPr>
        <w:pStyle w:val="3"/>
        <w:spacing w:line="276" w:lineRule="auto"/>
        <w:ind w:left="0"/>
      </w:pPr>
      <w:bookmarkStart w:id="7" w:name="_Toc46163738"/>
      <w:bookmarkStart w:id="8" w:name="_Toc89378798"/>
      <w:bookmarkStart w:id="9" w:name="_Toc46056367"/>
      <w:bookmarkStart w:id="10" w:name="_Toc37096675"/>
      <w:r>
        <w:rPr>
          <w:rFonts w:hint="eastAsia"/>
        </w:rPr>
        <w:t>系统开放性</w:t>
      </w:r>
      <w:bookmarkEnd w:id="7"/>
      <w:bookmarkEnd w:id="8"/>
      <w:bookmarkEnd w:id="9"/>
      <w:bookmarkEnd w:id="10"/>
    </w:p>
    <w:p>
      <w:pPr>
        <w:spacing w:line="276" w:lineRule="auto"/>
        <w:ind w:firstLine="480"/>
        <w:rPr>
          <w:rFonts w:ascii="宋体" w:hAnsi="宋体"/>
        </w:rPr>
      </w:pPr>
      <w:r>
        <w:rPr>
          <w:rFonts w:ascii="宋体" w:hAnsi="宋体"/>
        </w:rPr>
        <w:t>用户中心管理</w:t>
      </w:r>
      <w:r>
        <w:rPr>
          <w:rFonts w:hint="eastAsia" w:ascii="宋体" w:hAnsi="宋体"/>
        </w:rPr>
        <w:t>系统提供标准的RestFul等</w:t>
      </w:r>
      <w:r>
        <w:rPr>
          <w:rFonts w:ascii="宋体" w:hAnsi="宋体"/>
        </w:rPr>
        <w:t>安全加密的</w:t>
      </w:r>
      <w:r>
        <w:rPr>
          <w:rFonts w:hint="eastAsia" w:ascii="宋体" w:hAnsi="宋体"/>
        </w:rPr>
        <w:t>标准化数据接口API</w:t>
      </w:r>
      <w:r>
        <w:rPr>
          <w:rFonts w:ascii="宋体" w:hAnsi="宋体"/>
        </w:rPr>
        <w:t>，并支持多种协议，便于业务扩展</w:t>
      </w:r>
      <w:r>
        <w:rPr>
          <w:rFonts w:hint="eastAsia" w:ascii="宋体" w:hAnsi="宋体"/>
        </w:rPr>
        <w:t>、数据导出、统计分析调用和培训记录归档所用</w:t>
      </w:r>
      <w:r>
        <w:rPr>
          <w:rFonts w:ascii="宋体" w:hAnsi="宋体"/>
        </w:rPr>
        <w:t>。</w:t>
      </w:r>
    </w:p>
    <w:p>
      <w:pPr>
        <w:pStyle w:val="3"/>
        <w:spacing w:line="276" w:lineRule="auto"/>
        <w:ind w:left="0"/>
      </w:pPr>
      <w:bookmarkStart w:id="11" w:name="_Toc37096676"/>
      <w:bookmarkStart w:id="12" w:name="_Toc46163739"/>
      <w:bookmarkStart w:id="13" w:name="_Toc46056368"/>
      <w:bookmarkStart w:id="14" w:name="_Toc89378799"/>
      <w:r>
        <w:rPr>
          <w:rFonts w:hint="eastAsia"/>
        </w:rPr>
        <w:t>系统灵活性</w:t>
      </w:r>
      <w:bookmarkEnd w:id="11"/>
      <w:bookmarkEnd w:id="12"/>
      <w:bookmarkEnd w:id="13"/>
      <w:bookmarkEnd w:id="14"/>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提供线性的系统扩展能力</w:t>
      </w:r>
      <w:r>
        <w:rPr>
          <w:rFonts w:hint="eastAsia" w:ascii="宋体" w:hAnsi="宋体"/>
        </w:rPr>
        <w:t>和平滑功能扩展</w:t>
      </w:r>
      <w:r>
        <w:rPr>
          <w:rFonts w:ascii="宋体" w:hAnsi="宋体"/>
        </w:rPr>
        <w:t>，可以通过扩展硬件设备线性地提高系统性能和容量</w:t>
      </w:r>
      <w:r>
        <w:rPr>
          <w:rFonts w:hint="eastAsia" w:ascii="宋体" w:hAnsi="宋体"/>
        </w:rPr>
        <w:t>，</w:t>
      </w:r>
      <w:r>
        <w:rPr>
          <w:rFonts w:ascii="宋体" w:hAnsi="宋体"/>
        </w:rPr>
        <w:t>集群部署，可以根据实际需求进行服务器结点的扩展，具有较强的系统扩展能力；支持良好的平滑</w:t>
      </w:r>
      <w:r>
        <w:rPr>
          <w:rFonts w:hint="eastAsia" w:ascii="宋体" w:hAnsi="宋体"/>
        </w:rPr>
        <w:t>功能扩展及系统升级</w:t>
      </w:r>
      <w:r>
        <w:rPr>
          <w:rFonts w:ascii="宋体" w:hAnsi="宋体"/>
        </w:rPr>
        <w:t>，</w:t>
      </w:r>
      <w:r>
        <w:rPr>
          <w:rFonts w:hint="eastAsia" w:ascii="宋体" w:hAnsi="宋体"/>
        </w:rPr>
        <w:t>功能扩展及</w:t>
      </w:r>
      <w:r>
        <w:rPr>
          <w:rFonts w:ascii="宋体" w:hAnsi="宋体"/>
        </w:rPr>
        <w:t>系统升级不影响正在使用的服务</w:t>
      </w:r>
      <w:r>
        <w:rPr>
          <w:rFonts w:hint="eastAsia" w:ascii="宋体" w:hAnsi="宋体"/>
        </w:rPr>
        <w:t>，同时不影响系统当前架构。</w:t>
      </w:r>
    </w:p>
    <w:p>
      <w:pPr>
        <w:pStyle w:val="3"/>
        <w:spacing w:line="276" w:lineRule="auto"/>
        <w:ind w:left="0"/>
      </w:pPr>
      <w:bookmarkStart w:id="15" w:name="_Toc37096677"/>
      <w:bookmarkStart w:id="16" w:name="_Toc516492520"/>
      <w:bookmarkStart w:id="17" w:name="_Toc89378800"/>
      <w:bookmarkStart w:id="18" w:name="_Toc46163740"/>
      <w:bookmarkStart w:id="19" w:name="_Toc46056369"/>
      <w:bookmarkStart w:id="20" w:name="_Toc503634239"/>
      <w:r>
        <w:rPr>
          <w:rFonts w:hint="eastAsia"/>
        </w:rPr>
        <w:t>系统扩展性</w:t>
      </w:r>
      <w:bookmarkEnd w:id="15"/>
      <w:bookmarkEnd w:id="16"/>
      <w:bookmarkEnd w:id="17"/>
      <w:bookmarkEnd w:id="18"/>
      <w:bookmarkEnd w:id="19"/>
      <w:bookmarkEnd w:id="20"/>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具有良好的伸缩性，可以随业务规模的增长</w:t>
      </w:r>
      <w:r>
        <w:rPr>
          <w:rFonts w:hint="eastAsia" w:ascii="宋体" w:hAnsi="宋体"/>
        </w:rPr>
        <w:t>平滑升级和扩展，</w:t>
      </w:r>
      <w:r>
        <w:rPr>
          <w:rFonts w:ascii="宋体" w:hAnsi="宋体"/>
        </w:rPr>
        <w:t>能够支持多个层面的可扩展性，通过</w:t>
      </w:r>
      <w:r>
        <w:rPr>
          <w:rFonts w:hint="eastAsia" w:ascii="宋体" w:hAnsi="宋体"/>
        </w:rPr>
        <w:t>分布式、多机负载均衡架构、模块化开发和部署设计</w:t>
      </w:r>
      <w:r>
        <w:rPr>
          <w:rFonts w:ascii="宋体" w:hAnsi="宋体"/>
        </w:rPr>
        <w:t>、快速开发/重组、业务参数配置</w:t>
      </w:r>
      <w:r>
        <w:rPr>
          <w:rFonts w:hint="eastAsia" w:ascii="宋体" w:hAnsi="宋体"/>
        </w:rPr>
        <w:t>、模型配置、引擎及功能配置</w:t>
      </w:r>
      <w:r>
        <w:rPr>
          <w:rFonts w:ascii="宋体" w:hAnsi="宋体"/>
        </w:rPr>
        <w:t>等多个方面使得系统可以支持未来不断变化的业务需求</w:t>
      </w:r>
      <w:r>
        <w:rPr>
          <w:rFonts w:hint="eastAsia" w:ascii="宋体" w:hAnsi="宋体"/>
        </w:rPr>
        <w:t>。同时系统有良好的横向和纵向扩展能力，可以通过增加主机数量或提高主机的性能，提高整个系统的处理能力。</w:t>
      </w:r>
    </w:p>
    <w:p>
      <w:pPr>
        <w:pStyle w:val="3"/>
        <w:spacing w:line="276" w:lineRule="auto"/>
        <w:ind w:left="0"/>
      </w:pPr>
      <w:bookmarkStart w:id="21" w:name="_Toc89378801"/>
      <w:bookmarkStart w:id="22" w:name="_Toc46056370"/>
      <w:bookmarkStart w:id="23" w:name="_Toc37096678"/>
      <w:bookmarkStart w:id="24" w:name="_Toc46163741"/>
      <w:r>
        <w:rPr>
          <w:rFonts w:hint="eastAsia"/>
        </w:rPr>
        <w:t>系统高效性</w:t>
      </w:r>
      <w:bookmarkEnd w:id="21"/>
      <w:bookmarkEnd w:id="22"/>
      <w:bookmarkEnd w:id="23"/>
      <w:bookmarkEnd w:id="24"/>
    </w:p>
    <w:p>
      <w:pPr>
        <w:spacing w:line="276" w:lineRule="auto"/>
        <w:ind w:firstLine="480"/>
        <w:rPr>
          <w:rFonts w:ascii="宋体" w:hAnsi="宋体"/>
        </w:rPr>
      </w:pPr>
      <w:r>
        <w:rPr>
          <w:rFonts w:ascii="宋体" w:hAnsi="宋体"/>
        </w:rPr>
        <w:t>用户中心管理</w:t>
      </w:r>
      <w:r>
        <w:rPr>
          <w:rFonts w:hint="eastAsia" w:ascii="宋体" w:hAnsi="宋体"/>
        </w:rPr>
        <w:t>系统具有高效性及易管理的特性。</w:t>
      </w:r>
    </w:p>
    <w:p>
      <w:pPr>
        <w:pStyle w:val="3"/>
        <w:spacing w:line="276" w:lineRule="auto"/>
        <w:ind w:left="0"/>
      </w:pPr>
      <w:bookmarkStart w:id="25" w:name="_Toc516492522"/>
      <w:bookmarkStart w:id="26" w:name="_Toc46056371"/>
      <w:bookmarkStart w:id="27" w:name="_Toc46163742"/>
      <w:bookmarkStart w:id="28" w:name="_Toc37096679"/>
      <w:bookmarkStart w:id="29" w:name="_Toc89378802"/>
      <w:bookmarkStart w:id="30" w:name="_Toc503634241"/>
      <w:r>
        <w:rPr>
          <w:rFonts w:hint="eastAsia"/>
        </w:rPr>
        <w:t>系统安全性</w:t>
      </w:r>
      <w:bookmarkEnd w:id="25"/>
      <w:bookmarkEnd w:id="26"/>
      <w:bookmarkEnd w:id="27"/>
      <w:bookmarkEnd w:id="28"/>
      <w:bookmarkEnd w:id="29"/>
      <w:bookmarkEnd w:id="30"/>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针对主机、数据库、网络、应用等各层次要制定相应的安全策略和可靠性策略，保障系统的安全性和可靠性，应用软件具有处理各种非正常状态和事件的能力。</w:t>
      </w:r>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提供有效的安全保密措施，</w:t>
      </w:r>
      <w:r>
        <w:rPr>
          <w:rFonts w:hint="eastAsia" w:ascii="宋体" w:hAnsi="宋体"/>
        </w:rPr>
        <w:t>用户中心项目系统</w:t>
      </w:r>
      <w:r>
        <w:rPr>
          <w:rFonts w:ascii="宋体" w:hAnsi="宋体"/>
        </w:rPr>
        <w:t>提供</w:t>
      </w:r>
      <w:r>
        <w:rPr>
          <w:rFonts w:hint="eastAsia" w:ascii="宋体" w:hAnsi="宋体"/>
        </w:rPr>
        <w:t>安全访问协议支持</w:t>
      </w:r>
      <w:r>
        <w:rPr>
          <w:rFonts w:ascii="宋体" w:hAnsi="宋体"/>
        </w:rPr>
        <w:t>，保证数据传输安全，确保系统和数据资源的安全，防止对系统资源的非法侵入，入侵检测系统应对违背安全事件记录并报警。</w:t>
      </w:r>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提供有关网络安全的详细说明，</w:t>
      </w:r>
      <w:r>
        <w:rPr>
          <w:rFonts w:hint="eastAsia" w:ascii="宋体" w:hAnsi="宋体"/>
        </w:rPr>
        <w:t>涉及到向外网传输数据，并且</w:t>
      </w:r>
      <w:r>
        <w:rPr>
          <w:rFonts w:ascii="宋体" w:hAnsi="宋体"/>
        </w:rPr>
        <w:t>以国家标准的加密算法加密。</w:t>
      </w:r>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提供联机的数据备份能力，关键数据的传输支持采用可靠的加密方式，保证关键数据的完整性与安全性。</w:t>
      </w:r>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保存用户密码或系统使用的各类密码</w:t>
      </w:r>
      <w:r>
        <w:rPr>
          <w:rFonts w:hint="eastAsia" w:ascii="宋体" w:hAnsi="宋体"/>
        </w:rPr>
        <w:t>为</w:t>
      </w:r>
      <w:r>
        <w:rPr>
          <w:rFonts w:ascii="宋体" w:hAnsi="宋体"/>
        </w:rPr>
        <w:t>密文保存。采用不可逆的加密方式保存此类密码，系统应该支持</w:t>
      </w:r>
      <w:r>
        <w:rPr>
          <w:rFonts w:hint="eastAsia" w:ascii="宋体" w:hAnsi="宋体"/>
        </w:rPr>
        <w:t>SH</w:t>
      </w:r>
      <w:r>
        <w:rPr>
          <w:rFonts w:ascii="宋体" w:hAnsi="宋体"/>
        </w:rPr>
        <w:t>A256</w:t>
      </w:r>
      <w:r>
        <w:rPr>
          <w:rFonts w:hint="eastAsia" w:ascii="宋体" w:hAnsi="宋体"/>
        </w:rPr>
        <w:t>、A</w:t>
      </w:r>
      <w:r>
        <w:rPr>
          <w:rFonts w:ascii="宋体" w:hAnsi="宋体"/>
        </w:rPr>
        <w:t>ES等加密算法。</w:t>
      </w:r>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充分利用防火墙、安全证书、SSL 等数据加密技术保证系统与数据的安全。</w:t>
      </w:r>
    </w:p>
    <w:p>
      <w:pPr>
        <w:spacing w:line="276" w:lineRule="auto"/>
        <w:ind w:firstLine="480"/>
        <w:rPr>
          <w:rFonts w:ascii="宋体" w:hAnsi="宋体"/>
        </w:rPr>
      </w:pPr>
      <w:r>
        <w:rPr>
          <w:rFonts w:ascii="宋体" w:hAnsi="宋体"/>
        </w:rPr>
        <w:t>不同的操作员具有不同的数据访问权限和功能操作权限，系统管理员能对各操作员的权限进行配置和管理。</w:t>
      </w:r>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提供完善的审计功能，对系统关键数据的每一次增加、修改和删除都能记录相应的修改时间、操作人和修改前的数据记录。</w:t>
      </w:r>
    </w:p>
    <w:p>
      <w:pPr>
        <w:pStyle w:val="3"/>
        <w:spacing w:line="276" w:lineRule="auto"/>
        <w:ind w:left="0"/>
      </w:pPr>
      <w:bookmarkStart w:id="31" w:name="_Toc89378805"/>
      <w:bookmarkStart w:id="32" w:name="_Toc37096682"/>
      <w:bookmarkStart w:id="33" w:name="_Toc516492524"/>
      <w:bookmarkStart w:id="34" w:name="_Toc46056374"/>
      <w:bookmarkStart w:id="35" w:name="_Toc46163745"/>
      <w:r>
        <w:rPr>
          <w:rFonts w:hint="eastAsia"/>
        </w:rPr>
        <w:t>系统高可用性</w:t>
      </w:r>
      <w:bookmarkEnd w:id="31"/>
      <w:bookmarkEnd w:id="32"/>
      <w:bookmarkEnd w:id="33"/>
      <w:bookmarkEnd w:id="34"/>
      <w:bookmarkEnd w:id="35"/>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5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jc w:val="center"/>
        </w:trPr>
        <w:tc>
          <w:tcPr>
            <w:tcW w:w="2122" w:type="dxa"/>
            <w:shd w:val="clear" w:color="auto" w:fill="D8D8D8" w:themeFill="background1" w:themeFillShade="D9"/>
          </w:tcPr>
          <w:p>
            <w:pPr>
              <w:widowControl/>
              <w:spacing w:line="276" w:lineRule="auto"/>
              <w:ind w:firstLine="482"/>
              <w:rPr>
                <w:rFonts w:ascii="宋体" w:hAnsi="宋体" w:cs="宋体"/>
                <w:b/>
                <w:lang w:bidi="ar"/>
              </w:rPr>
            </w:pPr>
            <w:r>
              <w:rPr>
                <w:rFonts w:hint="eastAsia" w:ascii="宋体" w:hAnsi="宋体" w:cs="宋体"/>
                <w:b/>
                <w:lang w:bidi="ar"/>
              </w:rPr>
              <w:t>名称</w:t>
            </w:r>
          </w:p>
        </w:tc>
        <w:tc>
          <w:tcPr>
            <w:tcW w:w="5742" w:type="dxa"/>
            <w:shd w:val="clear" w:color="auto" w:fill="D8D8D8" w:themeFill="background1" w:themeFillShade="D9"/>
          </w:tcPr>
          <w:p>
            <w:pPr>
              <w:widowControl/>
              <w:spacing w:line="276" w:lineRule="auto"/>
              <w:ind w:firstLine="482"/>
              <w:rPr>
                <w:rFonts w:ascii="宋体" w:hAnsi="宋体" w:cs="宋体"/>
                <w:b/>
                <w:lang w:bidi="ar"/>
              </w:rPr>
            </w:pPr>
            <w:r>
              <w:rPr>
                <w:rFonts w:hint="eastAsia" w:ascii="宋体" w:hAnsi="宋体" w:cs="宋体"/>
                <w:b/>
                <w:lang w:bidi="ar"/>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22" w:type="dxa"/>
            <w:vAlign w:val="center"/>
          </w:tcPr>
          <w:p>
            <w:pPr>
              <w:widowControl/>
              <w:spacing w:line="276" w:lineRule="auto"/>
              <w:rPr>
                <w:rFonts w:ascii="宋体" w:hAnsi="宋体" w:cs="宋体"/>
                <w:lang w:bidi="ar"/>
              </w:rPr>
            </w:pPr>
            <w:r>
              <w:rPr>
                <w:rFonts w:hint="eastAsia" w:ascii="宋体" w:hAnsi="宋体" w:cs="宋体"/>
                <w:lang w:bidi="ar"/>
              </w:rPr>
              <w:t>总体可用性</w:t>
            </w:r>
          </w:p>
        </w:tc>
        <w:tc>
          <w:tcPr>
            <w:tcW w:w="5742" w:type="dxa"/>
          </w:tcPr>
          <w:p>
            <w:pPr>
              <w:widowControl/>
              <w:spacing w:line="276" w:lineRule="auto"/>
              <w:rPr>
                <w:rFonts w:ascii="宋体" w:hAnsi="宋体" w:cs="宋体"/>
                <w:lang w:bidi="ar"/>
              </w:rPr>
            </w:pPr>
            <w:r>
              <w:rPr>
                <w:rFonts w:hint="eastAsia" w:ascii="宋体" w:hAnsi="宋体" w:cs="宋体"/>
                <w:lang w:bidi="ar"/>
              </w:rPr>
              <w:t>1、产品总体可用性超过99.9%。</w:t>
            </w:r>
          </w:p>
          <w:p>
            <w:pPr>
              <w:widowControl/>
              <w:spacing w:line="276" w:lineRule="auto"/>
              <w:rPr>
                <w:rFonts w:ascii="宋体" w:hAnsi="宋体" w:cs="宋体"/>
                <w:lang w:bidi="ar"/>
              </w:rPr>
            </w:pPr>
            <w:r>
              <w:rPr>
                <w:rFonts w:hint="eastAsia" w:ascii="宋体" w:hAnsi="宋体" w:cs="宋体"/>
                <w:lang w:bidi="ar"/>
              </w:rPr>
              <w:t>2、系统具备高可用性、无单点故障、采用集群部署、应用多活方式等方式实现冗余备份策略。</w:t>
            </w:r>
          </w:p>
          <w:p>
            <w:pPr>
              <w:widowControl/>
              <w:spacing w:line="276" w:lineRule="auto"/>
              <w:rPr>
                <w:rFonts w:ascii="宋体" w:hAnsi="宋体" w:cs="宋体"/>
                <w:lang w:bidi="ar"/>
              </w:rPr>
            </w:pPr>
            <w:r>
              <w:rPr>
                <w:rFonts w:ascii="宋体" w:hAnsi="宋体" w:cs="宋体"/>
                <w:lang w:bidi="ar"/>
              </w:rPr>
              <w:t>3、系统</w:t>
            </w:r>
            <w:r>
              <w:rPr>
                <w:rFonts w:hint="eastAsia" w:ascii="宋体" w:hAnsi="宋体" w:cs="宋体"/>
                <w:lang w:bidi="ar"/>
              </w:rPr>
              <w:t>支持混合云架构，整体满足逻辑集中、物理分离的要求，训练考核与系统管理业务逻辑和数据统一同步。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122" w:type="dxa"/>
            <w:vAlign w:val="center"/>
          </w:tcPr>
          <w:p>
            <w:pPr>
              <w:widowControl/>
              <w:spacing w:line="276" w:lineRule="auto"/>
              <w:rPr>
                <w:rFonts w:ascii="宋体" w:hAnsi="宋体" w:cs="宋体"/>
                <w:lang w:bidi="ar"/>
              </w:rPr>
            </w:pPr>
            <w:r>
              <w:rPr>
                <w:rFonts w:hint="eastAsia" w:ascii="宋体" w:hAnsi="宋体" w:cs="宋体"/>
                <w:lang w:bidi="ar"/>
              </w:rPr>
              <w:t>数据库</w:t>
            </w:r>
          </w:p>
        </w:tc>
        <w:tc>
          <w:tcPr>
            <w:tcW w:w="5742" w:type="dxa"/>
            <w:vAlign w:val="center"/>
          </w:tcPr>
          <w:p>
            <w:pPr>
              <w:widowControl/>
              <w:spacing w:line="276" w:lineRule="auto"/>
              <w:rPr>
                <w:rFonts w:ascii="宋体" w:hAnsi="宋体" w:cs="宋体"/>
                <w:lang w:bidi="ar"/>
              </w:rPr>
            </w:pPr>
            <w:r>
              <w:rPr>
                <w:rFonts w:hint="eastAsia" w:ascii="宋体" w:hAnsi="宋体" w:cs="宋体"/>
                <w:lang w:bidi="ar"/>
              </w:rPr>
              <w:t>数据库服务的可用性超过99.9%，提供集群多活方式的冗余备份策略。</w:t>
            </w:r>
          </w:p>
        </w:tc>
      </w:tr>
    </w:tbl>
    <w:p>
      <w:pPr>
        <w:pStyle w:val="3"/>
        <w:spacing w:line="276" w:lineRule="auto"/>
        <w:ind w:left="0"/>
      </w:pPr>
      <w:bookmarkStart w:id="36" w:name="_Toc46163746"/>
      <w:bookmarkStart w:id="37" w:name="_Toc89378806"/>
      <w:bookmarkStart w:id="38" w:name="_Toc37096683"/>
      <w:bookmarkStart w:id="39" w:name="_Toc516492525"/>
      <w:bookmarkStart w:id="40" w:name="_Toc46056375"/>
      <w:bookmarkStart w:id="41" w:name="_Toc503634243"/>
      <w:r>
        <w:rPr>
          <w:rFonts w:hint="eastAsia"/>
        </w:rPr>
        <w:t>系统易维护性</w:t>
      </w:r>
      <w:bookmarkEnd w:id="36"/>
      <w:bookmarkEnd w:id="37"/>
      <w:bookmarkEnd w:id="38"/>
      <w:bookmarkEnd w:id="39"/>
      <w:bookmarkEnd w:id="40"/>
      <w:bookmarkEnd w:id="41"/>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具备完善的系统日志功能，对于人员登录及IP信息进行记录，并对数据更改或其他关键操作进行记录及监控。</w:t>
      </w:r>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具备完备的数据备份和恢复机制，备份和恢复时间达到系统设计指标要求。</w:t>
      </w:r>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具备方便且可定期执行、分析结果的业务测试功能。</w:t>
      </w:r>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易于修改，对某一个模块的修改，不影响其他模块的正常运行。</w:t>
      </w:r>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易于扩展，新增</w:t>
      </w:r>
      <w:r>
        <w:rPr>
          <w:rFonts w:hint="eastAsia" w:ascii="宋体" w:hAnsi="宋体"/>
        </w:rPr>
        <w:t>功能</w:t>
      </w:r>
      <w:r>
        <w:rPr>
          <w:rFonts w:ascii="宋体" w:hAnsi="宋体"/>
        </w:rPr>
        <w:t>时</w:t>
      </w:r>
      <w:r>
        <w:rPr>
          <w:rFonts w:hint="eastAsia" w:ascii="宋体" w:hAnsi="宋体"/>
        </w:rPr>
        <w:t>不对系统进行修改，若必须修改，</w:t>
      </w:r>
      <w:r>
        <w:rPr>
          <w:rFonts w:ascii="宋体" w:hAnsi="宋体"/>
        </w:rPr>
        <w:t>做尽可能少的修改</w:t>
      </w:r>
      <w:r>
        <w:rPr>
          <w:rFonts w:hint="eastAsia" w:ascii="宋体" w:hAnsi="宋体"/>
        </w:rPr>
        <w:t>，不影响其他模块的正常运行。</w:t>
      </w:r>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在运行过程中所发生的任何错误都有明确的错误编号，并能在系统的相应维护手册中查到错误处理方法与步骤。</w:t>
      </w:r>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具备日志分析能力，统一存储设备和系统日志，及时排查隐患。</w:t>
      </w:r>
    </w:p>
    <w:p>
      <w:pPr>
        <w:pStyle w:val="3"/>
        <w:spacing w:line="276" w:lineRule="auto"/>
        <w:ind w:left="0"/>
      </w:pPr>
      <w:bookmarkStart w:id="42" w:name="_Toc46056377"/>
      <w:bookmarkStart w:id="43" w:name="_Toc37096685"/>
      <w:bookmarkStart w:id="44" w:name="_Toc516492523"/>
      <w:bookmarkStart w:id="45" w:name="_Toc46163748"/>
      <w:bookmarkStart w:id="46" w:name="_Toc89378808"/>
      <w:bookmarkStart w:id="47" w:name="_Toc503634242"/>
      <w:r>
        <w:rPr>
          <w:rFonts w:hint="eastAsia"/>
        </w:rPr>
        <w:t>系统易用性</w:t>
      </w:r>
      <w:bookmarkEnd w:id="42"/>
      <w:bookmarkEnd w:id="43"/>
      <w:bookmarkEnd w:id="44"/>
      <w:bookmarkEnd w:id="45"/>
      <w:bookmarkEnd w:id="46"/>
      <w:bookmarkEnd w:id="47"/>
    </w:p>
    <w:p>
      <w:pPr>
        <w:spacing w:line="276" w:lineRule="auto"/>
        <w:ind w:firstLine="480"/>
        <w:rPr>
          <w:rFonts w:ascii="宋体" w:hAnsi="宋体"/>
        </w:rPr>
      </w:pPr>
      <w:r>
        <w:rPr>
          <w:rFonts w:ascii="宋体" w:hAnsi="宋体"/>
        </w:rPr>
        <w:t>用户中心管理</w:t>
      </w:r>
      <w:r>
        <w:rPr>
          <w:rFonts w:hint="eastAsia" w:ascii="宋体" w:hAnsi="宋体"/>
        </w:rPr>
        <w:t>系统</w:t>
      </w:r>
      <w:r>
        <w:rPr>
          <w:rFonts w:ascii="宋体" w:hAnsi="宋体"/>
        </w:rPr>
        <w:t>具备完善的功能，方便</w:t>
      </w:r>
      <w:r>
        <w:rPr>
          <w:rFonts w:hint="eastAsia" w:ascii="宋体" w:hAnsi="宋体"/>
        </w:rPr>
        <w:t>客户</w:t>
      </w:r>
      <w:r>
        <w:rPr>
          <w:rFonts w:ascii="宋体" w:hAnsi="宋体"/>
        </w:rPr>
        <w:t>使用。</w:t>
      </w:r>
    </w:p>
    <w:p>
      <w:pPr>
        <w:pStyle w:val="3"/>
        <w:spacing w:line="276" w:lineRule="auto"/>
        <w:ind w:left="0"/>
      </w:pPr>
      <w:bookmarkStart w:id="48" w:name="_Toc516492526"/>
      <w:bookmarkStart w:id="49" w:name="_Toc37096686"/>
      <w:bookmarkStart w:id="50" w:name="_Toc46163749"/>
      <w:bookmarkStart w:id="51" w:name="_Toc46056378"/>
      <w:bookmarkStart w:id="52" w:name="_Toc89378809"/>
      <w:r>
        <w:rPr>
          <w:rFonts w:hint="eastAsia"/>
        </w:rPr>
        <w:t>系统容错能力</w:t>
      </w:r>
      <w:bookmarkEnd w:id="48"/>
      <w:bookmarkEnd w:id="49"/>
      <w:bookmarkEnd w:id="50"/>
      <w:bookmarkEnd w:id="51"/>
      <w:bookmarkEnd w:id="52"/>
    </w:p>
    <w:p>
      <w:pPr>
        <w:spacing w:line="276" w:lineRule="auto"/>
        <w:ind w:firstLine="480"/>
      </w:pPr>
      <w:r>
        <w:rPr>
          <w:rFonts w:ascii="宋体" w:hAnsi="宋体"/>
        </w:rPr>
        <w:t>用户中心管理</w:t>
      </w:r>
      <w:r>
        <w:rPr>
          <w:rFonts w:hint="eastAsia" w:ascii="宋体" w:hAnsi="宋体"/>
        </w:rPr>
        <w:t>系统具有容错性的特性。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674C4"/>
    <w:multiLevelType w:val="multilevel"/>
    <w:tmpl w:val="15C674C4"/>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718" w:hanging="576"/>
      </w:pPr>
      <w:rPr>
        <w:rFonts w:hint="eastAsia"/>
      </w:rPr>
    </w:lvl>
    <w:lvl w:ilvl="2" w:tentative="0">
      <w:start w:val="1"/>
      <w:numFmt w:val="decimal"/>
      <w:suff w:val="space"/>
      <w:lvlText w:val="%1.%2.%3"/>
      <w:lvlJc w:val="left"/>
      <w:pPr>
        <w:ind w:left="1429" w:hanging="720"/>
      </w:pPr>
      <w:rPr>
        <w:rFonts w:ascii="Times New Roman" w:hAnsi="Times New Roman" w:cs="Times New Roman"/>
        <w:b w:val="0"/>
        <w:i w:val="0"/>
        <w:iCs w:val="0"/>
        <w:caps w:val="0"/>
        <w:smallCaps w:val="0"/>
        <w:strike w:val="0"/>
        <w:dstrike w:val="0"/>
        <w:vanish w:val="0"/>
        <w:color w:val="00000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ZThjMzlkZWY5NDYzNDU1MGE0NzVmY2U1YzdjYWUifQ=="/>
  </w:docVars>
  <w:rsids>
    <w:rsidRoot w:val="68E57CEC"/>
    <w:rsid w:val="68E5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utoSpaceDE w:val="0"/>
      <w:autoSpaceDN w:val="0"/>
      <w:adjustRightInd w:val="0"/>
      <w:spacing w:before="240" w:after="240" w:line="360" w:lineRule="auto"/>
      <w:ind w:firstLine="0"/>
      <w:jc w:val="left"/>
      <w:outlineLvl w:val="0"/>
    </w:pPr>
    <w:rPr>
      <w:b/>
      <w:color w:val="000000"/>
      <w:kern w:val="0"/>
      <w:sz w:val="30"/>
      <w:szCs w:val="44"/>
      <w:lang w:val="zh-CN"/>
    </w:rPr>
  </w:style>
  <w:style w:type="paragraph" w:styleId="3">
    <w:name w:val="heading 2"/>
    <w:basedOn w:val="1"/>
    <w:next w:val="1"/>
    <w:unhideWhenUsed/>
    <w:qFormat/>
    <w:uiPriority w:val="0"/>
    <w:pPr>
      <w:keepNext/>
      <w:keepLines/>
      <w:numPr>
        <w:ilvl w:val="1"/>
        <w:numId w:val="1"/>
      </w:numPr>
      <w:autoSpaceDE w:val="0"/>
      <w:autoSpaceDN w:val="0"/>
      <w:spacing w:before="240" w:after="260" w:line="415" w:lineRule="auto"/>
      <w:outlineLvl w:val="1"/>
    </w:pPr>
    <w:rPr>
      <w:rFonts w:ascii="Cambria" w:hAnsi="Cambria"/>
      <w:b/>
      <w:bCs/>
      <w:sz w:val="28"/>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3087</Words>
  <Characters>3119</Characters>
  <Lines>0</Lines>
  <Paragraphs>0</Paragraphs>
  <TotalTime>2</TotalTime>
  <ScaleCrop>false</ScaleCrop>
  <LinksUpToDate>false</LinksUpToDate>
  <CharactersWithSpaces>3121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2022-06-26T01:43:00Z</dcterms:created>
  <dc:creator>......</dc:creator>
  <cp:lastModifiedBy>......</cp:lastModifiedBy>
  <dcterms:modified xsi:type="dcterms:W3CDTF">2022-06-26T01:53:18Z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81C46BA566474B6EA4C69AE9C8D2D943</vt:lpwstr>
  </property>
</Properties>
</file>