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百色百矿发电有限公司田东电厂2022年脱硫液氨系统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阀门采购项目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设备类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百色百矿发电有限公司田东电厂2022年脱硫液氨系统阀门采购项目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百色百矿发电有限公司田东电厂（以下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</w:rPr>
        <w:t>简称“田东电厂”）位于广西田东县祥周镇新洲村，其距南宁市约200km，厂址东距田东县城约10km；田东电厂装机容量</w:t>
      </w:r>
      <w:r>
        <w:rPr>
          <w:rFonts w:hint="eastAsia" w:ascii="微软雅黑" w:hAnsi="微软雅黑" w:eastAsia="微软雅黑" w:cs="微软雅黑"/>
          <w:sz w:val="24"/>
          <w:lang w:eastAsia="zh-CN"/>
        </w:rPr>
        <w:t>为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</w:rPr>
        <w:t>×1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35</w:t>
      </w:r>
      <w:r>
        <w:rPr>
          <w:rFonts w:hint="eastAsia" w:ascii="微软雅黑" w:hAnsi="微软雅黑" w:eastAsia="微软雅黑" w:cs="微软雅黑"/>
          <w:sz w:val="24"/>
        </w:rPr>
        <w:t>MW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，本次计划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采购152台脱硫液氨系统阀门</w:t>
      </w:r>
      <w:r>
        <w:rPr>
          <w:rFonts w:hint="eastAsia" w:ascii="微软雅黑" w:hAnsi="微软雅黑" w:eastAsia="微软雅黑" w:cs="微软雅黑"/>
          <w:sz w:val="24"/>
        </w:rPr>
        <w:t>。现</w:t>
      </w:r>
      <w:r>
        <w:rPr>
          <w:rFonts w:hint="eastAsia" w:ascii="微软雅黑" w:hAnsi="微软雅黑" w:eastAsia="微软雅黑" w:cs="微软雅黑"/>
          <w:sz w:val="24"/>
          <w:lang w:eastAsia="zh-CN"/>
        </w:rPr>
        <w:t>就百色百矿发电有限公司田东电厂2022年脱硫液氨系统阀门采购项目</w:t>
      </w:r>
      <w:r>
        <w:rPr>
          <w:rFonts w:hint="eastAsia" w:ascii="微软雅黑" w:hAnsi="微软雅黑" w:eastAsia="微软雅黑" w:cs="微软雅黑"/>
          <w:sz w:val="24"/>
        </w:rPr>
        <w:t>进行招标，欢迎有实力的公司参与此次招标活动。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tbl>
      <w:tblPr>
        <w:tblStyle w:val="14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469"/>
        <w:gridCol w:w="5085"/>
        <w:gridCol w:w="1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规格/型号等产品参数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不锈钢氨用截止阀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J41F-25P, DN100，2.5MPa，长度：350mm，材质316L（配316L不锈钢法兰、不锈钢金属缠绕垫及304不锈钢螺栓材质）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不锈钢氨用截止阀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J41B-25P, DN80，2.5MPa，长度：305mm，材质316L（配316L不锈钢法兰、不锈钢金属缠绕垫及304不锈钢螺栓）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不锈钢氨用截止阀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J41F-25P, DN65，2.5MPa，长度：290mm，材质316L（配316L不锈钢法兰、不锈钢金属缠绕垫及304不锈钢螺栓）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不锈钢氨用截止阀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J41F-25P, DN50，2.5MPa，长度：220mm，材质316L（配316L不锈钢法兰、不锈钢金属缠绕垫及304不锈钢螺栓）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不锈钢氨用截止阀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J41F-25P, DN25，2.5MPa，长度：160mm，材质316L（配316L不锈钢法兰、不锈钢金属缠绕垫及304不锈钢螺栓）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不锈钢氨用截止阀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J41F-25P, DN20，2.5MPa，材质316L（配316L不锈钢法兰、不锈钢金属缠绕垫及304不锈钢螺栓）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不锈钢氨用气动球阀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V6100，DN65，2.5MPa，长度：220mm，材质316L （流量特性：ON/OFF，行程90°执行机构：OTR-105）配气动控制元件(电磁阀电压等级：DC24V),带开、关到位信号反馈装置（配316L不锈钢法兰、不锈钢金属缠绕垫及304不锈钢螺栓）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不锈钢氨用气动球阀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V6100，DN50，4.0MPa，长度：215mm，材质316L （流量特性：ON/OFF，行程90°执行机构：OTR-85）配气动控制元件(电磁阀电压等级：DC24V),带开、关到位信号反馈装置（配316L不锈钢法兰、不锈钢金属缠绕垫及304不锈钢螺栓）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152</w:t>
            </w:r>
          </w:p>
        </w:tc>
      </w:tr>
    </w:tbl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具有自行生产制造或销售代理资质；具有竞标规格及以上相应或相似条件下，近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年在国内不少于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2个不锈钢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阀门（材质316L）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供应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业绩须附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列表及对应列表的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扫描件含首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尾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页、能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反应合同主体内容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、签字盖章页，否则按无效业绩处理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注：经销商需提供代理的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生产制造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厂家的营业执照、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资质文件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及业绩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0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0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近三年的财务报表资料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pStyle w:val="2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   招标人百色百矿发电有限公司田东电厂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招标单位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地址：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广西田东县祥周镇新洲村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百色市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田阳区头塘镇百色百矿发电有限公司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电力业务部第一会议室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邮编：533615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技术: 黄雷   手机号 18077636619  E-mail:Lei.Huang03@geely.com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收款单位名称：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百色百矿发电有限公司田东电厂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开户行：桂林银行股份有限公司百色分行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帐号：660010089945800048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投诉、举报电话：0571-28098168（吉利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科技工程与商务发展部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百色百矿发电有限公司田东电厂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MTcxOTNiNTkwM2E2ZTdkNmI0ZjM5OGFjM2I0Y2Q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B046A6"/>
    <w:rsid w:val="02B510FA"/>
    <w:rsid w:val="02FB4A5D"/>
    <w:rsid w:val="03261624"/>
    <w:rsid w:val="03391357"/>
    <w:rsid w:val="035809D3"/>
    <w:rsid w:val="036000C3"/>
    <w:rsid w:val="03822CFE"/>
    <w:rsid w:val="03CF73B2"/>
    <w:rsid w:val="047B2B1B"/>
    <w:rsid w:val="04B97278"/>
    <w:rsid w:val="065B3392"/>
    <w:rsid w:val="08066011"/>
    <w:rsid w:val="08294F11"/>
    <w:rsid w:val="08E6448C"/>
    <w:rsid w:val="092B7632"/>
    <w:rsid w:val="0A4A209B"/>
    <w:rsid w:val="0AFA0912"/>
    <w:rsid w:val="0B1D3D7C"/>
    <w:rsid w:val="0C55174C"/>
    <w:rsid w:val="0C75747C"/>
    <w:rsid w:val="0C8124EB"/>
    <w:rsid w:val="0CA5394B"/>
    <w:rsid w:val="0D505C1B"/>
    <w:rsid w:val="0E767028"/>
    <w:rsid w:val="0F3F1AA3"/>
    <w:rsid w:val="0F5C0D94"/>
    <w:rsid w:val="10C233A9"/>
    <w:rsid w:val="10EC5B3E"/>
    <w:rsid w:val="11DA1F24"/>
    <w:rsid w:val="11E44815"/>
    <w:rsid w:val="12165383"/>
    <w:rsid w:val="12296A3A"/>
    <w:rsid w:val="12F31522"/>
    <w:rsid w:val="132E71BB"/>
    <w:rsid w:val="13574F3A"/>
    <w:rsid w:val="138E06B8"/>
    <w:rsid w:val="143A44EA"/>
    <w:rsid w:val="146A5792"/>
    <w:rsid w:val="146C382B"/>
    <w:rsid w:val="14EA231D"/>
    <w:rsid w:val="150A2F6F"/>
    <w:rsid w:val="153E114C"/>
    <w:rsid w:val="156644E7"/>
    <w:rsid w:val="15866F89"/>
    <w:rsid w:val="158D1F4D"/>
    <w:rsid w:val="15FA0478"/>
    <w:rsid w:val="165A52E4"/>
    <w:rsid w:val="168009DC"/>
    <w:rsid w:val="1689600C"/>
    <w:rsid w:val="169336AF"/>
    <w:rsid w:val="183B2BE1"/>
    <w:rsid w:val="185674AB"/>
    <w:rsid w:val="18B47BD7"/>
    <w:rsid w:val="19B317F0"/>
    <w:rsid w:val="19EC0189"/>
    <w:rsid w:val="1AAF3709"/>
    <w:rsid w:val="1B7E2F52"/>
    <w:rsid w:val="1BD23F86"/>
    <w:rsid w:val="1CF2587F"/>
    <w:rsid w:val="1DF833A9"/>
    <w:rsid w:val="1E012619"/>
    <w:rsid w:val="1E625304"/>
    <w:rsid w:val="1EF94E9C"/>
    <w:rsid w:val="1F5E6095"/>
    <w:rsid w:val="205C71BD"/>
    <w:rsid w:val="20716543"/>
    <w:rsid w:val="21AB121A"/>
    <w:rsid w:val="21DE79D4"/>
    <w:rsid w:val="22095287"/>
    <w:rsid w:val="221C055F"/>
    <w:rsid w:val="2227222A"/>
    <w:rsid w:val="225A73C1"/>
    <w:rsid w:val="22D0336F"/>
    <w:rsid w:val="235B2DA4"/>
    <w:rsid w:val="23A510A9"/>
    <w:rsid w:val="23D8367D"/>
    <w:rsid w:val="23F34CD8"/>
    <w:rsid w:val="247F5B01"/>
    <w:rsid w:val="25A0388E"/>
    <w:rsid w:val="25EF3DCB"/>
    <w:rsid w:val="26202C93"/>
    <w:rsid w:val="266A026F"/>
    <w:rsid w:val="26B24DF9"/>
    <w:rsid w:val="26F50A4F"/>
    <w:rsid w:val="27486A51"/>
    <w:rsid w:val="28001741"/>
    <w:rsid w:val="28E676DC"/>
    <w:rsid w:val="290D1F44"/>
    <w:rsid w:val="29562F4A"/>
    <w:rsid w:val="2A487B51"/>
    <w:rsid w:val="2A562521"/>
    <w:rsid w:val="2A664A66"/>
    <w:rsid w:val="2AC31A97"/>
    <w:rsid w:val="2AFA6CE1"/>
    <w:rsid w:val="2BAE1354"/>
    <w:rsid w:val="2C3B13EC"/>
    <w:rsid w:val="2C9973F8"/>
    <w:rsid w:val="2D086A5A"/>
    <w:rsid w:val="2D6E2B18"/>
    <w:rsid w:val="2DB16E8B"/>
    <w:rsid w:val="2E44718D"/>
    <w:rsid w:val="2E8250B1"/>
    <w:rsid w:val="30691BEE"/>
    <w:rsid w:val="309B7A48"/>
    <w:rsid w:val="30A0299D"/>
    <w:rsid w:val="30F6566A"/>
    <w:rsid w:val="31A82723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764A2B"/>
    <w:rsid w:val="41B67580"/>
    <w:rsid w:val="43B31BBC"/>
    <w:rsid w:val="449D459A"/>
    <w:rsid w:val="44FE459A"/>
    <w:rsid w:val="46004114"/>
    <w:rsid w:val="469D2CCA"/>
    <w:rsid w:val="47285F3F"/>
    <w:rsid w:val="477A5B14"/>
    <w:rsid w:val="48102E25"/>
    <w:rsid w:val="48376942"/>
    <w:rsid w:val="48752B3F"/>
    <w:rsid w:val="48DB4BFB"/>
    <w:rsid w:val="499B232F"/>
    <w:rsid w:val="49AB37D4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816991"/>
    <w:rsid w:val="4F505DEA"/>
    <w:rsid w:val="4F732300"/>
    <w:rsid w:val="4F7468BD"/>
    <w:rsid w:val="4FAC4FDD"/>
    <w:rsid w:val="4FDA433C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39A0248"/>
    <w:rsid w:val="541067D7"/>
    <w:rsid w:val="550448B0"/>
    <w:rsid w:val="55496A0F"/>
    <w:rsid w:val="55850499"/>
    <w:rsid w:val="55F41EB4"/>
    <w:rsid w:val="57ED1672"/>
    <w:rsid w:val="583A6878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C0022CD"/>
    <w:rsid w:val="5C006A47"/>
    <w:rsid w:val="5C8A4190"/>
    <w:rsid w:val="5CB87248"/>
    <w:rsid w:val="5D184CAE"/>
    <w:rsid w:val="5D963C63"/>
    <w:rsid w:val="5DBE7604"/>
    <w:rsid w:val="5E09758C"/>
    <w:rsid w:val="5E1A1B35"/>
    <w:rsid w:val="5ED163CC"/>
    <w:rsid w:val="5EF15762"/>
    <w:rsid w:val="605472D8"/>
    <w:rsid w:val="60681DE6"/>
    <w:rsid w:val="60AE3C5C"/>
    <w:rsid w:val="61A134C4"/>
    <w:rsid w:val="628E67D5"/>
    <w:rsid w:val="6331362E"/>
    <w:rsid w:val="635A5109"/>
    <w:rsid w:val="636A54E7"/>
    <w:rsid w:val="64E64BB9"/>
    <w:rsid w:val="658E4A0B"/>
    <w:rsid w:val="65CC5CFA"/>
    <w:rsid w:val="668F6144"/>
    <w:rsid w:val="676C0174"/>
    <w:rsid w:val="67A12167"/>
    <w:rsid w:val="69366FB6"/>
    <w:rsid w:val="69392234"/>
    <w:rsid w:val="69805CFC"/>
    <w:rsid w:val="6A357B03"/>
    <w:rsid w:val="6AA21219"/>
    <w:rsid w:val="6AE02E8A"/>
    <w:rsid w:val="6C58731C"/>
    <w:rsid w:val="6C7F4402"/>
    <w:rsid w:val="6D070820"/>
    <w:rsid w:val="6D3D10EF"/>
    <w:rsid w:val="6E9478B9"/>
    <w:rsid w:val="6F7C517B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42529DB"/>
    <w:rsid w:val="75D44595"/>
    <w:rsid w:val="75E20A21"/>
    <w:rsid w:val="75EC2C69"/>
    <w:rsid w:val="76515A45"/>
    <w:rsid w:val="76D07E61"/>
    <w:rsid w:val="76E13C50"/>
    <w:rsid w:val="76E83563"/>
    <w:rsid w:val="76F94EB0"/>
    <w:rsid w:val="77440722"/>
    <w:rsid w:val="77543075"/>
    <w:rsid w:val="77581B01"/>
    <w:rsid w:val="7B0C0F79"/>
    <w:rsid w:val="7B332D7F"/>
    <w:rsid w:val="7CF6117F"/>
    <w:rsid w:val="7D390712"/>
    <w:rsid w:val="7D4D43F3"/>
    <w:rsid w:val="7E16443C"/>
    <w:rsid w:val="7EF22D57"/>
    <w:rsid w:val="7EFA31DC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444444"/>
      <w:u w:val="none"/>
    </w:rPr>
  </w:style>
  <w:style w:type="character" w:styleId="12">
    <w:name w:val="Emphasis"/>
    <w:basedOn w:val="9"/>
    <w:qFormat/>
    <w:uiPriority w:val="0"/>
    <w:rPr>
      <w:rFonts w:hint="eastAsia" w:ascii="微软雅黑" w:hAnsi="微软雅黑" w:eastAsia="微软雅黑" w:cs="微软雅黑"/>
    </w:rPr>
  </w:style>
  <w:style w:type="character" w:styleId="13">
    <w:name w:val="Hyperlink"/>
    <w:basedOn w:val="9"/>
    <w:qFormat/>
    <w:uiPriority w:val="0"/>
    <w:rPr>
      <w:color w:val="444444"/>
      <w:u w:val="none"/>
    </w:rPr>
  </w:style>
  <w:style w:type="character" w:customStyle="1" w:styleId="15">
    <w:name w:val="enter"/>
    <w:basedOn w:val="9"/>
    <w:qFormat/>
    <w:uiPriority w:val="0"/>
  </w:style>
  <w:style w:type="character" w:customStyle="1" w:styleId="16">
    <w:name w:val="realname"/>
    <w:basedOn w:val="9"/>
    <w:qFormat/>
    <w:uiPriority w:val="0"/>
  </w:style>
  <w:style w:type="character" w:customStyle="1" w:styleId="17">
    <w:name w:val="realname1"/>
    <w:basedOn w:val="9"/>
    <w:qFormat/>
    <w:uiPriority w:val="0"/>
  </w:style>
  <w:style w:type="character" w:customStyle="1" w:styleId="18">
    <w:name w:val="bwvip"/>
    <w:basedOn w:val="9"/>
    <w:qFormat/>
    <w:uiPriority w:val="0"/>
  </w:style>
  <w:style w:type="character" w:customStyle="1" w:styleId="19">
    <w:name w:val="vip"/>
    <w:basedOn w:val="9"/>
    <w:qFormat/>
    <w:uiPriority w:val="0"/>
  </w:style>
  <w:style w:type="character" w:customStyle="1" w:styleId="20">
    <w:name w:val="book"/>
    <w:basedOn w:val="9"/>
    <w:qFormat/>
    <w:uiPriority w:val="0"/>
  </w:style>
  <w:style w:type="character" w:customStyle="1" w:styleId="21">
    <w:name w:val="enter1"/>
    <w:basedOn w:val="9"/>
    <w:qFormat/>
    <w:uiPriority w:val="0"/>
  </w:style>
  <w:style w:type="paragraph" w:customStyle="1" w:styleId="22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3">
    <w:name w:val="font31"/>
    <w:basedOn w:val="9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4">
    <w:name w:val="font6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7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1937</Words>
  <Characters>2430</Characters>
  <Lines>0</Lines>
  <Paragraphs>0</Paragraphs>
  <TotalTime>18</TotalTime>
  <ScaleCrop>false</ScaleCrop>
  <LinksUpToDate>false</LinksUpToDate>
  <CharactersWithSpaces>2459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2022-09-07T08:41:03Z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8F174C172F3D4E179351CED9E42D6DA7</vt:lpwstr>
  </property>
</Properties>
</file>