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微软雅黑"/>
          <w:kern w:val="0"/>
          <w:szCs w:val="32"/>
        </w:rPr>
      </w:pPr>
      <w:bookmarkStart w:id="0" w:name="_Toc350209938"/>
      <w:bookmarkEnd w:id="0"/>
      <w:r>
        <w:rPr>
          <w:rFonts w:hint="eastAsia" w:ascii="微软雅黑" w:hAnsi="微软雅黑" w:eastAsia="微软雅黑" w:cs="微软雅黑"/>
          <w:kern w:val="0"/>
          <w:szCs w:val="32"/>
        </w:rPr>
        <w:t xml:space="preserve">广西东怀矿业有限责任公司 </w:t>
      </w:r>
    </w:p>
    <w:p>
      <w:pPr>
        <w:widowControl/>
        <w:jc w:val="center"/>
        <w:rPr>
          <w:rFonts w:ascii="微软雅黑" w:hAnsi="微软雅黑" w:eastAsia="微软雅黑" w:cs="微软雅黑"/>
          <w:b/>
          <w:bCs/>
          <w:szCs w:val="32"/>
        </w:rPr>
      </w:pPr>
      <w:r>
        <w:rPr>
          <w:rFonts w:hint="eastAsia" w:ascii="微软雅黑" w:hAnsi="微软雅黑" w:eastAsia="微软雅黑" w:cs="微软雅黑"/>
          <w:b/>
          <w:bCs/>
          <w:szCs w:val="32"/>
        </w:rPr>
        <w:t>矿用钢绳芯输送带无损</w:t>
      </w:r>
      <w:r>
        <w:rPr>
          <w:rFonts w:hint="eastAsia" w:ascii="微软雅黑" w:hAnsi="微软雅黑" w:eastAsia="微软雅黑" w:cs="微软雅黑"/>
          <w:b/>
          <w:bCs/>
          <w:szCs w:val="32"/>
          <w:lang w:val="en-US" w:eastAsia="zh-CN"/>
        </w:rPr>
        <w:t>检</w:t>
      </w:r>
      <w:r>
        <w:rPr>
          <w:rFonts w:hint="eastAsia" w:ascii="微软雅黑" w:hAnsi="微软雅黑" w:eastAsia="微软雅黑" w:cs="微软雅黑"/>
          <w:b/>
          <w:bCs/>
          <w:szCs w:val="32"/>
        </w:rPr>
        <w:t>测</w:t>
      </w:r>
      <w:r>
        <w:rPr>
          <w:rFonts w:hint="eastAsia" w:ascii="微软雅黑" w:hAnsi="微软雅黑" w:eastAsia="微软雅黑" w:cs="微软雅黑"/>
          <w:b/>
          <w:bCs/>
          <w:szCs w:val="32"/>
          <w:lang w:val="en-US" w:eastAsia="zh-CN"/>
        </w:rPr>
        <w:t>系统</w:t>
      </w:r>
      <w:r>
        <w:rPr>
          <w:rFonts w:hint="eastAsia" w:ascii="微软雅黑" w:hAnsi="微软雅黑" w:eastAsia="微软雅黑" w:cs="微软雅黑"/>
          <w:b/>
          <w:bCs/>
          <w:szCs w:val="32"/>
        </w:rPr>
        <w:t>技术任务书</w:t>
      </w:r>
    </w:p>
    <w:p>
      <w:pPr>
        <w:autoSpaceDE w:val="0"/>
        <w:autoSpaceDN w:val="0"/>
        <w:adjustRightInd w:val="0"/>
        <w:snapToGrid w:val="0"/>
        <w:spacing w:before="78" w:beforeLines="25" w:after="78" w:afterLines="25" w:line="360" w:lineRule="auto"/>
        <w:ind w:firstLine="480" w:firstLineChars="200"/>
        <w:jc w:val="left"/>
        <w:rPr>
          <w:rFonts w:ascii="宋体" w:hAnsi="宋体" w:eastAsia="宋体" w:cs="宋体"/>
          <w:sz w:val="24"/>
          <w:szCs w:val="24"/>
        </w:rPr>
      </w:pPr>
    </w:p>
    <w:p>
      <w:pPr>
        <w:autoSpaceDE w:val="0"/>
        <w:autoSpaceDN w:val="0"/>
        <w:adjustRightInd w:val="0"/>
        <w:snapToGrid w:val="0"/>
        <w:spacing w:before="78" w:beforeLines="25" w:after="78" w:afterLines="25" w:line="360" w:lineRule="auto"/>
        <w:ind w:firstLine="480" w:firstLineChars="200"/>
        <w:jc w:val="left"/>
        <w:rPr>
          <w:rFonts w:ascii="微软雅黑" w:hAnsi="微软雅黑" w:eastAsia="微软雅黑" w:cs="宋体"/>
          <w:sz w:val="24"/>
          <w:szCs w:val="24"/>
        </w:rPr>
      </w:pPr>
      <w:r>
        <w:rPr>
          <w:rFonts w:hint="eastAsia" w:ascii="微软雅黑" w:hAnsi="微软雅黑" w:eastAsia="微软雅黑" w:cs="宋体"/>
          <w:sz w:val="24"/>
          <w:szCs w:val="24"/>
        </w:rPr>
        <w:t>甲方（全称）：</w:t>
      </w:r>
      <w:r>
        <w:rPr>
          <w:rFonts w:hint="eastAsia" w:ascii="微软雅黑" w:hAnsi="微软雅黑" w:eastAsia="微软雅黑" w:cs="宋体"/>
          <w:sz w:val="24"/>
          <w:szCs w:val="24"/>
          <w:u w:val="single"/>
        </w:rPr>
        <w:t xml:space="preserve">  广西东怀矿业有限责任公司  </w:t>
      </w:r>
    </w:p>
    <w:p>
      <w:pPr>
        <w:autoSpaceDE w:val="0"/>
        <w:autoSpaceDN w:val="0"/>
        <w:adjustRightInd w:val="0"/>
        <w:snapToGrid w:val="0"/>
        <w:spacing w:before="78" w:beforeLines="25" w:after="78" w:afterLines="25" w:line="360" w:lineRule="auto"/>
        <w:ind w:firstLine="480" w:firstLineChars="200"/>
        <w:jc w:val="left"/>
        <w:rPr>
          <w:rFonts w:ascii="微软雅黑" w:hAnsi="微软雅黑" w:eastAsia="微软雅黑" w:cs="宋体"/>
          <w:sz w:val="24"/>
          <w:szCs w:val="24"/>
        </w:rPr>
      </w:pPr>
      <w:r>
        <w:rPr>
          <w:rFonts w:hint="eastAsia" w:ascii="微软雅黑" w:hAnsi="微软雅黑" w:eastAsia="微软雅黑" w:cs="宋体"/>
          <w:sz w:val="24"/>
          <w:szCs w:val="24"/>
        </w:rPr>
        <w:t>乙方（全称）：</w:t>
      </w:r>
      <w:r>
        <w:rPr>
          <w:rFonts w:hint="eastAsia" w:ascii="微软雅黑" w:hAnsi="微软雅黑" w:eastAsia="微软雅黑" w:cs="宋体"/>
          <w:sz w:val="24"/>
          <w:szCs w:val="24"/>
          <w:u w:val="single"/>
        </w:rPr>
        <w:t xml:space="preserve">                    </w:t>
      </w:r>
    </w:p>
    <w:p>
      <w:pPr>
        <w:autoSpaceDE w:val="0"/>
        <w:autoSpaceDN w:val="0"/>
        <w:adjustRightInd w:val="0"/>
        <w:snapToGrid w:val="0"/>
        <w:spacing w:before="78" w:beforeLines="25" w:after="78" w:afterLines="25" w:line="360" w:lineRule="auto"/>
        <w:jc w:val="left"/>
        <w:rPr>
          <w:rFonts w:ascii="微软雅黑" w:hAnsi="微软雅黑" w:eastAsia="微软雅黑" w:cs="宋体"/>
          <w:b/>
          <w:sz w:val="24"/>
          <w:szCs w:val="24"/>
        </w:rPr>
      </w:pPr>
      <w:r>
        <w:rPr>
          <w:rFonts w:hint="eastAsia" w:ascii="微软雅黑" w:hAnsi="微软雅黑" w:eastAsia="微软雅黑" w:cs="宋体"/>
          <w:b/>
          <w:sz w:val="24"/>
          <w:szCs w:val="24"/>
        </w:rPr>
        <w:t>一、项目概况</w:t>
      </w:r>
    </w:p>
    <w:p>
      <w:pPr>
        <w:autoSpaceDE w:val="0"/>
        <w:autoSpaceDN w:val="0"/>
        <w:adjustRightInd w:val="0"/>
        <w:snapToGrid w:val="0"/>
        <w:spacing w:before="78" w:beforeLines="25" w:after="78" w:afterLines="25" w:line="360" w:lineRule="auto"/>
        <w:ind w:firstLine="480" w:firstLineChars="200"/>
        <w:jc w:val="left"/>
        <w:rPr>
          <w:rFonts w:ascii="微软雅黑" w:hAnsi="微软雅黑" w:eastAsia="微软雅黑" w:cs="宋体"/>
          <w:sz w:val="24"/>
          <w:szCs w:val="24"/>
        </w:rPr>
      </w:pPr>
      <w:r>
        <w:rPr>
          <w:rFonts w:hint="eastAsia" w:ascii="微软雅黑" w:hAnsi="微软雅黑" w:eastAsia="微软雅黑" w:cs="宋体"/>
          <w:sz w:val="24"/>
          <w:szCs w:val="24"/>
        </w:rPr>
        <w:t>项目名称：东怀煤矿矿用钢绳芯输送带无损监测</w:t>
      </w:r>
      <w:r>
        <w:rPr>
          <w:rFonts w:hint="eastAsia" w:ascii="微软雅黑" w:hAnsi="微软雅黑" w:eastAsia="微软雅黑" w:cs="宋体"/>
          <w:sz w:val="24"/>
          <w:szCs w:val="24"/>
          <w:lang w:val="en-US" w:eastAsia="zh-CN"/>
        </w:rPr>
        <w:t>系统采购</w:t>
      </w:r>
      <w:r>
        <w:rPr>
          <w:rFonts w:hint="eastAsia" w:ascii="微软雅黑" w:hAnsi="微软雅黑" w:eastAsia="微软雅黑" w:cs="宋体"/>
          <w:sz w:val="24"/>
          <w:szCs w:val="24"/>
        </w:rPr>
        <w:t>项目</w:t>
      </w:r>
    </w:p>
    <w:p>
      <w:pPr>
        <w:autoSpaceDE w:val="0"/>
        <w:autoSpaceDN w:val="0"/>
        <w:adjustRightInd w:val="0"/>
        <w:snapToGrid w:val="0"/>
        <w:spacing w:before="78" w:beforeLines="25" w:after="78" w:afterLines="25" w:line="360" w:lineRule="auto"/>
        <w:ind w:firstLine="480" w:firstLineChars="200"/>
        <w:jc w:val="left"/>
        <w:rPr>
          <w:rFonts w:ascii="微软雅黑" w:hAnsi="微软雅黑" w:eastAsia="微软雅黑" w:cs="宋体"/>
          <w:sz w:val="24"/>
          <w:szCs w:val="24"/>
        </w:rPr>
      </w:pPr>
      <w:r>
        <w:rPr>
          <w:rFonts w:hint="eastAsia" w:ascii="微软雅黑" w:hAnsi="微软雅黑" w:eastAsia="微软雅黑" w:cs="宋体"/>
          <w:sz w:val="24"/>
          <w:szCs w:val="24"/>
        </w:rPr>
        <w:t xml:space="preserve">项目地点： 广西百色市右江区 </w:t>
      </w:r>
    </w:p>
    <w:p>
      <w:pPr>
        <w:autoSpaceDE w:val="0"/>
        <w:autoSpaceDN w:val="0"/>
        <w:adjustRightInd w:val="0"/>
        <w:snapToGrid w:val="0"/>
        <w:spacing w:line="480" w:lineRule="exact"/>
        <w:ind w:firstLine="480" w:firstLineChars="200"/>
        <w:jc w:val="left"/>
        <w:rPr>
          <w:rFonts w:hint="eastAsia" w:ascii="微软雅黑" w:hAnsi="微软雅黑" w:eastAsia="微软雅黑" w:cs="宋体"/>
          <w:sz w:val="24"/>
          <w:szCs w:val="24"/>
          <w:lang w:eastAsia="zh-CN"/>
        </w:rPr>
      </w:pPr>
      <w:r>
        <w:rPr>
          <w:rFonts w:hint="eastAsia" w:ascii="微软雅黑" w:hAnsi="微软雅黑" w:eastAsia="微软雅黑" w:cs="宋体"/>
          <w:sz w:val="24"/>
          <w:szCs w:val="24"/>
        </w:rPr>
        <w:t>项目内容： 东怀煤矿采购一</w:t>
      </w:r>
      <w:r>
        <w:rPr>
          <w:rFonts w:hint="eastAsia" w:ascii="微软雅黑" w:hAnsi="微软雅黑" w:eastAsia="微软雅黑" w:cs="宋体"/>
          <w:sz w:val="24"/>
          <w:szCs w:val="24"/>
          <w:lang w:val="en-US" w:eastAsia="zh-CN"/>
        </w:rPr>
        <w:t>套</w:t>
      </w:r>
      <w:r>
        <w:rPr>
          <w:rFonts w:hint="eastAsia" w:ascii="微软雅黑" w:hAnsi="微软雅黑" w:eastAsia="微软雅黑" w:cs="宋体"/>
          <w:sz w:val="24"/>
          <w:szCs w:val="24"/>
        </w:rPr>
        <w:t>矿用钢绳芯输送带无损监测</w:t>
      </w:r>
      <w:r>
        <w:rPr>
          <w:rFonts w:hint="eastAsia" w:ascii="微软雅黑" w:hAnsi="微软雅黑" w:eastAsia="微软雅黑" w:cs="宋体"/>
          <w:sz w:val="24"/>
          <w:szCs w:val="24"/>
          <w:lang w:val="en-US" w:eastAsia="zh-CN"/>
        </w:rPr>
        <w:t>系统</w:t>
      </w:r>
    </w:p>
    <w:p>
      <w:pPr>
        <w:autoSpaceDE w:val="0"/>
        <w:autoSpaceDN w:val="0"/>
        <w:adjustRightInd w:val="0"/>
        <w:snapToGrid w:val="0"/>
        <w:spacing w:before="78" w:beforeLines="25" w:after="78" w:afterLines="25" w:line="360" w:lineRule="auto"/>
        <w:jc w:val="left"/>
        <w:rPr>
          <w:rFonts w:hint="eastAsia" w:ascii="微软雅黑" w:hAnsi="微软雅黑" w:eastAsia="微软雅黑" w:cs="宋体"/>
          <w:b/>
          <w:sz w:val="24"/>
          <w:szCs w:val="24"/>
        </w:rPr>
      </w:pPr>
      <w:r>
        <w:rPr>
          <w:rFonts w:hint="eastAsia" w:ascii="微软雅黑" w:hAnsi="微软雅黑" w:eastAsia="微软雅黑" w:cs="宋体"/>
          <w:b/>
          <w:sz w:val="24"/>
          <w:szCs w:val="24"/>
          <w:lang w:val="en-US" w:eastAsia="zh-CN"/>
        </w:rPr>
        <w:t>二、</w:t>
      </w:r>
      <w:r>
        <w:rPr>
          <w:rFonts w:hint="eastAsia" w:ascii="微软雅黑" w:hAnsi="微软雅黑" w:eastAsia="微软雅黑" w:cs="宋体"/>
          <w:b/>
          <w:sz w:val="24"/>
          <w:szCs w:val="24"/>
        </w:rPr>
        <w:t>主要设备及配套服务清单</w:t>
      </w:r>
    </w:p>
    <w:p>
      <w:pPr>
        <w:numPr>
          <w:ilvl w:val="0"/>
          <w:numId w:val="0"/>
        </w:numPr>
        <w:spacing w:line="480" w:lineRule="exact"/>
        <w:ind w:left="420" w:leftChars="0"/>
        <w:textAlignment w:val="bottom"/>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2.1 主要设备清单</w:t>
      </w:r>
    </w:p>
    <w:tbl>
      <w:tblPr>
        <w:tblStyle w:val="9"/>
        <w:tblW w:w="5901" w:type="pct"/>
        <w:tblInd w:w="-469" w:type="dxa"/>
        <w:tblLayout w:type="fixed"/>
        <w:tblCellMar>
          <w:top w:w="0" w:type="dxa"/>
          <w:left w:w="0" w:type="dxa"/>
          <w:bottom w:w="0" w:type="dxa"/>
          <w:right w:w="0" w:type="dxa"/>
        </w:tblCellMar>
      </w:tblPr>
      <w:tblGrid>
        <w:gridCol w:w="739"/>
        <w:gridCol w:w="2091"/>
        <w:gridCol w:w="2407"/>
        <w:gridCol w:w="723"/>
        <w:gridCol w:w="708"/>
        <w:gridCol w:w="3390"/>
      </w:tblGrid>
      <w:tr>
        <w:tblPrEx>
          <w:tblCellMar>
            <w:top w:w="0" w:type="dxa"/>
            <w:left w:w="0" w:type="dxa"/>
            <w:bottom w:w="0" w:type="dxa"/>
            <w:right w:w="0" w:type="dxa"/>
          </w:tblCellMar>
        </w:tblPrEx>
        <w:trPr>
          <w:trHeight w:val="544" w:hRule="atLeast"/>
        </w:trPr>
        <w:tc>
          <w:tcPr>
            <w:tcW w:w="367" w:type="pc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0"/>
              </w:numPr>
              <w:spacing w:line="480" w:lineRule="exact"/>
              <w:textAlignment w:val="bottom"/>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序号</w:t>
            </w:r>
          </w:p>
        </w:tc>
        <w:tc>
          <w:tcPr>
            <w:tcW w:w="1039" w:type="pct"/>
            <w:tcBorders>
              <w:top w:val="single" w:color="000000" w:sz="8" w:space="0"/>
              <w:left w:val="nil"/>
              <w:bottom w:val="nil"/>
              <w:right w:val="single" w:color="auto" w:sz="4" w:space="0"/>
            </w:tcBorders>
            <w:shd w:val="clear" w:color="auto" w:fill="FFFFFF"/>
            <w:vAlign w:val="center"/>
          </w:tcPr>
          <w:p>
            <w:pPr>
              <w:numPr>
                <w:ilvl w:val="0"/>
                <w:numId w:val="0"/>
              </w:numPr>
              <w:spacing w:line="480" w:lineRule="exact"/>
              <w:ind w:left="420" w:leftChars="0"/>
              <w:textAlignment w:val="bottom"/>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名称</w:t>
            </w:r>
          </w:p>
        </w:tc>
        <w:tc>
          <w:tcPr>
            <w:tcW w:w="1196" w:type="pct"/>
            <w:tcBorders>
              <w:top w:val="single" w:color="000000" w:sz="8" w:space="0"/>
              <w:left w:val="nil"/>
              <w:bottom w:val="nil"/>
              <w:right w:val="single" w:color="auto" w:sz="4" w:space="0"/>
            </w:tcBorders>
            <w:shd w:val="clear" w:color="auto" w:fill="FFFFFF"/>
            <w:vAlign w:val="center"/>
          </w:tcPr>
          <w:p>
            <w:pPr>
              <w:numPr>
                <w:ilvl w:val="0"/>
                <w:numId w:val="0"/>
              </w:numPr>
              <w:spacing w:line="480" w:lineRule="exact"/>
              <w:ind w:left="420" w:leftChars="0"/>
              <w:textAlignment w:val="bottom"/>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型号规格</w:t>
            </w:r>
          </w:p>
        </w:tc>
        <w:tc>
          <w:tcPr>
            <w:tcW w:w="359" w:type="pct"/>
            <w:tcBorders>
              <w:top w:val="single" w:color="000000" w:sz="8" w:space="0"/>
              <w:left w:val="single" w:color="auto" w:sz="4" w:space="0"/>
              <w:bottom w:val="nil"/>
              <w:right w:val="single" w:color="000000" w:sz="8" w:space="0"/>
            </w:tcBorders>
            <w:shd w:val="clear" w:color="auto" w:fill="FFFFFF"/>
            <w:tcMar>
              <w:top w:w="0" w:type="dxa"/>
              <w:left w:w="108" w:type="dxa"/>
              <w:bottom w:w="0" w:type="dxa"/>
              <w:right w:w="108" w:type="dxa"/>
            </w:tcMar>
            <w:vAlign w:val="center"/>
          </w:tcPr>
          <w:p>
            <w:pPr>
              <w:numPr>
                <w:ilvl w:val="0"/>
                <w:numId w:val="0"/>
              </w:numPr>
              <w:spacing w:line="480" w:lineRule="exact"/>
              <w:textAlignment w:val="bottom"/>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单位</w:t>
            </w:r>
          </w:p>
        </w:tc>
        <w:tc>
          <w:tcPr>
            <w:tcW w:w="351"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numPr>
                <w:ilvl w:val="0"/>
                <w:numId w:val="0"/>
              </w:numPr>
              <w:spacing w:line="480" w:lineRule="exact"/>
              <w:textAlignment w:val="bottom"/>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数量</w:t>
            </w:r>
          </w:p>
        </w:tc>
        <w:tc>
          <w:tcPr>
            <w:tcW w:w="1685"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numPr>
                <w:ilvl w:val="0"/>
                <w:numId w:val="0"/>
              </w:numPr>
              <w:spacing w:line="480" w:lineRule="exact"/>
              <w:ind w:left="420" w:leftChars="0"/>
              <w:textAlignment w:val="bottom"/>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备注</w:t>
            </w:r>
          </w:p>
        </w:tc>
      </w:tr>
      <w:tr>
        <w:tblPrEx>
          <w:tblCellMar>
            <w:top w:w="0" w:type="dxa"/>
            <w:left w:w="0" w:type="dxa"/>
            <w:bottom w:w="0" w:type="dxa"/>
            <w:right w:w="0" w:type="dxa"/>
          </w:tblCellMar>
        </w:tblPrEx>
        <w:trPr>
          <w:trHeight w:val="1225" w:hRule="atLeast"/>
        </w:trPr>
        <w:tc>
          <w:tcPr>
            <w:tcW w:w="367"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0"/>
              </w:numPr>
              <w:spacing w:line="480" w:lineRule="exact"/>
              <w:jc w:val="center"/>
              <w:textAlignment w:val="bottom"/>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1</w:t>
            </w:r>
          </w:p>
        </w:tc>
        <w:tc>
          <w:tcPr>
            <w:tcW w:w="1039" w:type="pct"/>
            <w:tcBorders>
              <w:top w:val="single" w:color="000000" w:sz="8" w:space="0"/>
              <w:left w:val="single" w:color="auto" w:sz="4" w:space="0"/>
              <w:bottom w:val="single" w:color="000000" w:sz="8" w:space="0"/>
              <w:right w:val="single" w:color="auto" w:sz="4" w:space="0"/>
            </w:tcBorders>
            <w:shd w:val="clear" w:color="auto" w:fill="FFFFFF"/>
            <w:tcMar>
              <w:top w:w="0" w:type="dxa"/>
              <w:left w:w="108" w:type="dxa"/>
              <w:bottom w:w="0" w:type="dxa"/>
              <w:right w:w="108" w:type="dxa"/>
            </w:tcMar>
            <w:vAlign w:val="center"/>
          </w:tcPr>
          <w:p>
            <w:pPr>
              <w:numPr>
                <w:ilvl w:val="0"/>
                <w:numId w:val="0"/>
              </w:numPr>
              <w:spacing w:line="480" w:lineRule="exact"/>
              <w:jc w:val="center"/>
              <w:textAlignment w:val="bottom"/>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矿用钢绳芯输送带无损检测系统</w:t>
            </w:r>
          </w:p>
        </w:tc>
        <w:tc>
          <w:tcPr>
            <w:tcW w:w="1196" w:type="pct"/>
            <w:tcBorders>
              <w:top w:val="single" w:color="000000" w:sz="8" w:space="0"/>
              <w:left w:val="single" w:color="auto" w:sz="4" w:space="0"/>
              <w:bottom w:val="single" w:color="000000" w:sz="8" w:space="0"/>
              <w:right w:val="single" w:color="000000" w:sz="8" w:space="0"/>
            </w:tcBorders>
            <w:shd w:val="clear" w:color="auto" w:fill="FFFFFF"/>
            <w:vAlign w:val="center"/>
          </w:tcPr>
          <w:p>
            <w:pPr>
              <w:numPr>
                <w:ilvl w:val="0"/>
                <w:numId w:val="0"/>
              </w:numPr>
              <w:spacing w:line="480" w:lineRule="exact"/>
              <w:ind w:left="420" w:leftChars="0"/>
              <w:jc w:val="center"/>
              <w:textAlignment w:val="bottom"/>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KJ581</w:t>
            </w:r>
          </w:p>
        </w:tc>
        <w:tc>
          <w:tcPr>
            <w:tcW w:w="359"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0"/>
              </w:numPr>
              <w:spacing w:line="480" w:lineRule="exact"/>
              <w:jc w:val="center"/>
              <w:textAlignment w:val="bottom"/>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套</w:t>
            </w:r>
          </w:p>
        </w:tc>
        <w:tc>
          <w:tcPr>
            <w:tcW w:w="351"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0"/>
              </w:numPr>
              <w:spacing w:line="480" w:lineRule="exact"/>
              <w:jc w:val="center"/>
              <w:textAlignment w:val="bottom"/>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1</w:t>
            </w:r>
          </w:p>
        </w:tc>
        <w:tc>
          <w:tcPr>
            <w:tcW w:w="1685"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0"/>
              </w:numPr>
              <w:spacing w:line="480" w:lineRule="exact"/>
              <w:jc w:val="center"/>
              <w:textAlignment w:val="bottom"/>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该操作系统需具备一拖多：方便管理、集中控制，该系统可控制至少两条皮带在线检测设备。</w:t>
            </w:r>
          </w:p>
        </w:tc>
      </w:tr>
    </w:tbl>
    <w:p>
      <w:pPr>
        <w:pStyle w:val="4"/>
        <w:numPr>
          <w:ilvl w:val="0"/>
          <w:numId w:val="0"/>
        </w:numPr>
        <w:tabs>
          <w:tab w:val="clear" w:pos="1134"/>
        </w:tabs>
      </w:pPr>
    </w:p>
    <w:p>
      <w:pPr>
        <w:pStyle w:val="3"/>
        <w:spacing w:line="480" w:lineRule="exact"/>
        <w:jc w:val="both"/>
        <w:rPr>
          <w:rFonts w:hint="eastAsia" w:ascii="微软雅黑" w:hAnsi="微软雅黑" w:eastAsia="微软雅黑" w:cs="宋体"/>
          <w:color w:val="auto"/>
          <w:sz w:val="24"/>
          <w:szCs w:val="24"/>
        </w:rPr>
      </w:pPr>
      <w:bookmarkStart w:id="1" w:name="_Hlk106460330"/>
      <w:r>
        <w:rPr>
          <w:rFonts w:hint="eastAsia" w:ascii="微软雅黑" w:hAnsi="微软雅黑" w:eastAsia="微软雅黑" w:cs="宋体"/>
          <w:color w:val="auto"/>
          <w:sz w:val="24"/>
          <w:szCs w:val="24"/>
          <w:lang w:val="en-US" w:eastAsia="zh-CN"/>
        </w:rPr>
        <w:t>三、</w:t>
      </w:r>
      <w:r>
        <w:rPr>
          <w:rFonts w:hint="eastAsia" w:ascii="微软雅黑" w:hAnsi="微软雅黑" w:eastAsia="微软雅黑" w:cs="宋体"/>
          <w:color w:val="auto"/>
          <w:sz w:val="24"/>
          <w:szCs w:val="24"/>
        </w:rPr>
        <w:t>设计、生产、制造、安装、检验检测所需资质文件</w:t>
      </w:r>
    </w:p>
    <w:p>
      <w:pPr>
        <w:numPr>
          <w:ilvl w:val="0"/>
          <w:numId w:val="0"/>
        </w:numPr>
        <w:spacing w:line="480" w:lineRule="exact"/>
        <w:ind w:left="420" w:leftChars="0"/>
        <w:textAlignment w:val="bottom"/>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rPr>
        <w:t>GB 3836.1-2010</w:t>
      </w:r>
      <w:r>
        <w:rPr>
          <w:rFonts w:hint="eastAsia" w:ascii="微软雅黑" w:hAnsi="微软雅黑" w:eastAsia="微软雅黑" w:cs="宋体"/>
          <w:sz w:val="24"/>
          <w:szCs w:val="24"/>
          <w:lang w:val="en-US" w:eastAsia="zh-CN"/>
        </w:rPr>
        <w:t xml:space="preserve"> 爆炸性环境设备通用要求</w:t>
      </w:r>
    </w:p>
    <w:p>
      <w:pPr>
        <w:numPr>
          <w:ilvl w:val="0"/>
          <w:numId w:val="0"/>
        </w:numPr>
        <w:spacing w:line="480" w:lineRule="exact"/>
        <w:ind w:left="420" w:leftChars="0"/>
        <w:textAlignment w:val="bottom"/>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rPr>
        <w:t>GB 3836.4-2010</w:t>
      </w:r>
      <w:r>
        <w:rPr>
          <w:rFonts w:hint="eastAsia" w:ascii="微软雅黑" w:hAnsi="微软雅黑" w:eastAsia="微软雅黑" w:cs="宋体"/>
          <w:sz w:val="24"/>
          <w:szCs w:val="24"/>
          <w:lang w:val="en-US" w:eastAsia="zh-CN"/>
        </w:rPr>
        <w:t xml:space="preserve"> 爆炸性环境第4部分：由本质安全型“i”保护的设备</w:t>
      </w:r>
    </w:p>
    <w:p>
      <w:pPr>
        <w:numPr>
          <w:ilvl w:val="0"/>
          <w:numId w:val="0"/>
        </w:numPr>
        <w:spacing w:line="480" w:lineRule="exact"/>
        <w:ind w:left="420" w:leftChars="0"/>
        <w:textAlignment w:val="bottom"/>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rPr>
        <w:t>MT 209-1990</w:t>
      </w:r>
      <w:r>
        <w:rPr>
          <w:rFonts w:hint="eastAsia" w:ascii="微软雅黑" w:hAnsi="微软雅黑" w:eastAsia="微软雅黑" w:cs="宋体"/>
          <w:sz w:val="24"/>
          <w:szCs w:val="24"/>
          <w:lang w:val="en-US" w:eastAsia="zh-CN"/>
        </w:rPr>
        <w:t>煤矿通信、检测、控制用电工电子产品通用技术要求</w:t>
      </w:r>
    </w:p>
    <w:p>
      <w:pPr>
        <w:pStyle w:val="3"/>
        <w:spacing w:line="480" w:lineRule="exact"/>
        <w:jc w:val="both"/>
        <w:rPr>
          <w:rFonts w:ascii="微软雅黑" w:hAnsi="微软雅黑" w:eastAsia="微软雅黑" w:cs="宋体"/>
          <w:color w:val="auto"/>
          <w:sz w:val="24"/>
          <w:szCs w:val="24"/>
        </w:rPr>
      </w:pPr>
      <w:r>
        <w:rPr>
          <w:rFonts w:hint="eastAsia" w:ascii="微软雅黑" w:hAnsi="微软雅黑" w:eastAsia="微软雅黑" w:cs="宋体"/>
          <w:color w:val="auto"/>
          <w:sz w:val="24"/>
          <w:szCs w:val="24"/>
        </w:rPr>
        <w:t>四、技术性能质量要求总原则：</w:t>
      </w:r>
    </w:p>
    <w:p>
      <w:pPr>
        <w:numPr>
          <w:ilvl w:val="0"/>
          <w:numId w:val="2"/>
        </w:numPr>
        <w:spacing w:line="480" w:lineRule="exact"/>
        <w:textAlignment w:val="bottom"/>
        <w:rPr>
          <w:rFonts w:ascii="微软雅黑" w:hAnsi="微软雅黑" w:eastAsia="微软雅黑" w:cs="宋体"/>
          <w:sz w:val="24"/>
          <w:szCs w:val="24"/>
        </w:rPr>
      </w:pPr>
      <w:r>
        <w:rPr>
          <w:rFonts w:hint="eastAsia" w:ascii="微软雅黑" w:hAnsi="微软雅黑" w:eastAsia="微软雅黑" w:cs="宋体"/>
          <w:sz w:val="24"/>
          <w:szCs w:val="24"/>
        </w:rPr>
        <w:t>本规范试提出的技术质量要求，为最低的技术质量要求，乙方应提供满足本要求或更高标准的合格产品。</w:t>
      </w:r>
    </w:p>
    <w:p>
      <w:pPr>
        <w:numPr>
          <w:ilvl w:val="0"/>
          <w:numId w:val="2"/>
        </w:numPr>
        <w:spacing w:line="480" w:lineRule="exact"/>
        <w:textAlignment w:val="bottom"/>
        <w:rPr>
          <w:rFonts w:ascii="微软雅黑" w:hAnsi="微软雅黑" w:eastAsia="微软雅黑" w:cs="宋体"/>
          <w:sz w:val="24"/>
          <w:szCs w:val="24"/>
        </w:rPr>
      </w:pPr>
      <w:r>
        <w:rPr>
          <w:rFonts w:hint="eastAsia" w:ascii="微软雅黑" w:hAnsi="微软雅黑" w:eastAsia="微软雅黑" w:cs="宋体"/>
          <w:sz w:val="24"/>
          <w:szCs w:val="24"/>
        </w:rPr>
        <w:t>本规范书提出了部分技术标准，但不限于这些标准，若国家有更高、更新版本的技术标准，则执行国家新的、更高的标准。</w:t>
      </w:r>
    </w:p>
    <w:p>
      <w:pPr>
        <w:numPr>
          <w:ilvl w:val="0"/>
          <w:numId w:val="2"/>
        </w:numPr>
        <w:spacing w:line="480" w:lineRule="exact"/>
        <w:textAlignment w:val="bottom"/>
        <w:rPr>
          <w:rFonts w:ascii="微软雅黑" w:hAnsi="微软雅黑" w:eastAsia="微软雅黑" w:cs="宋体"/>
          <w:sz w:val="24"/>
          <w:szCs w:val="24"/>
        </w:rPr>
      </w:pPr>
      <w:r>
        <w:rPr>
          <w:rFonts w:hint="eastAsia" w:ascii="微软雅黑" w:hAnsi="微软雅黑" w:eastAsia="微软雅黑" w:cs="宋体"/>
          <w:sz w:val="24"/>
          <w:szCs w:val="24"/>
        </w:rPr>
        <w:t>为保证设备质量和设备互换性，结合煤矿实际使用，本规范书提供了部分部件参考型号，乙方在投标前可提供更好的型号供使用方参考选型，应达成共识，以签订的技术协议为准。</w:t>
      </w:r>
    </w:p>
    <w:p>
      <w:pPr>
        <w:numPr>
          <w:ilvl w:val="0"/>
          <w:numId w:val="2"/>
        </w:numPr>
        <w:spacing w:line="480" w:lineRule="exact"/>
        <w:textAlignment w:val="bottom"/>
        <w:rPr>
          <w:rFonts w:ascii="微软雅黑" w:hAnsi="微软雅黑" w:eastAsia="微软雅黑" w:cs="宋体"/>
          <w:sz w:val="24"/>
          <w:szCs w:val="24"/>
        </w:rPr>
      </w:pPr>
      <w:r>
        <w:rPr>
          <w:rFonts w:hint="eastAsia" w:ascii="微软雅黑" w:hAnsi="微软雅黑" w:eastAsia="微软雅黑" w:cs="宋体"/>
          <w:sz w:val="24"/>
          <w:szCs w:val="24"/>
        </w:rPr>
        <w:t>乙方应认真阅读本技术规格书，若有缺陷，应以书面形式与需方共同完善，最终以保证设备正常运行为原则。</w:t>
      </w:r>
    </w:p>
    <w:p>
      <w:pPr>
        <w:numPr>
          <w:ilvl w:val="0"/>
          <w:numId w:val="2"/>
        </w:numPr>
        <w:spacing w:line="480" w:lineRule="exact"/>
        <w:textAlignment w:val="bottom"/>
        <w:rPr>
          <w:rFonts w:ascii="微软雅黑" w:hAnsi="微软雅黑" w:eastAsia="微软雅黑" w:cs="宋体"/>
          <w:sz w:val="24"/>
          <w:szCs w:val="24"/>
        </w:rPr>
      </w:pPr>
      <w:r>
        <w:rPr>
          <w:rFonts w:hint="eastAsia" w:ascii="微软雅黑" w:hAnsi="微软雅黑" w:eastAsia="微软雅黑" w:cs="宋体"/>
          <w:sz w:val="24"/>
          <w:szCs w:val="24"/>
        </w:rPr>
        <w:t>乙方必须对外购件进行检查、实验、验收，确保外购件的质量，并对其质量负责。</w:t>
      </w:r>
    </w:p>
    <w:p>
      <w:pPr>
        <w:pStyle w:val="4"/>
        <w:numPr>
          <w:ilvl w:val="0"/>
          <w:numId w:val="0"/>
        </w:numPr>
        <w:tabs>
          <w:tab w:val="clear" w:pos="1134"/>
        </w:tabs>
        <w:spacing w:line="480" w:lineRule="exact"/>
        <w:ind w:firstLine="480" w:firstLineChars="200"/>
        <w:rPr>
          <w:rFonts w:hint="eastAsia" w:ascii="微软雅黑" w:hAnsi="微软雅黑" w:eastAsia="微软雅黑"/>
        </w:rPr>
      </w:pPr>
      <w:r>
        <w:rPr>
          <w:rFonts w:hint="eastAsia" w:ascii="微软雅黑" w:hAnsi="微软雅黑" w:eastAsia="微软雅黑" w:cs="宋体"/>
          <w:bCs/>
          <w:szCs w:val="24"/>
        </w:rPr>
        <w:t>本技术任务书所使用的标准如与投标人所执行的标准发生矛盾时，以较高标准执行。</w:t>
      </w:r>
    </w:p>
    <w:p>
      <w:pPr>
        <w:pStyle w:val="4"/>
        <w:numPr>
          <w:ilvl w:val="0"/>
          <w:numId w:val="0"/>
        </w:numPr>
        <w:tabs>
          <w:tab w:val="clear" w:pos="1134"/>
        </w:tabs>
        <w:spacing w:line="480" w:lineRule="exact"/>
        <w:rPr>
          <w:rFonts w:ascii="微软雅黑" w:hAnsi="微软雅黑" w:eastAsia="微软雅黑"/>
          <w:b/>
          <w:bCs/>
        </w:rPr>
      </w:pPr>
      <w:r>
        <w:rPr>
          <w:rFonts w:hint="eastAsia" w:ascii="微软雅黑" w:hAnsi="微软雅黑" w:eastAsia="微软雅黑" w:cs="宋体"/>
          <w:b/>
          <w:bCs/>
          <w:sz w:val="24"/>
          <w:szCs w:val="24"/>
        </w:rPr>
        <w:t>五、</w:t>
      </w:r>
      <w:bookmarkStart w:id="2" w:name="_Hlk40094107"/>
      <w:r>
        <w:rPr>
          <w:rFonts w:hint="eastAsia" w:ascii="微软雅黑" w:hAnsi="微软雅黑" w:eastAsia="微软雅黑"/>
          <w:b/>
          <w:bCs/>
        </w:rPr>
        <w:t>技术要求</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rPr>
        <w:t>1</w:t>
      </w:r>
      <w:r>
        <w:rPr>
          <w:rFonts w:hint="eastAsia" w:ascii="微软雅黑" w:hAnsi="微软雅黑" w:eastAsia="微软雅黑" w:cs="宋体"/>
          <w:color w:val="000000"/>
          <w:sz w:val="24"/>
          <w:szCs w:val="24"/>
          <w:lang w:eastAsia="zh-CN"/>
        </w:rPr>
        <w:t>、</w:t>
      </w:r>
      <w:r>
        <w:rPr>
          <w:rFonts w:hint="eastAsia" w:ascii="微软雅黑" w:hAnsi="微软雅黑" w:eastAsia="微软雅黑" w:cs="宋体"/>
          <w:color w:val="000000"/>
          <w:sz w:val="24"/>
          <w:szCs w:val="24"/>
          <w:lang w:val="en-US" w:eastAsia="zh-CN"/>
        </w:rPr>
        <w:t>检测</w:t>
      </w:r>
      <w:r>
        <w:rPr>
          <w:rFonts w:hint="eastAsia" w:ascii="微软雅黑" w:hAnsi="微软雅黑" w:eastAsia="微软雅黑" w:cs="宋体"/>
          <w:color w:val="000000"/>
          <w:sz w:val="24"/>
          <w:szCs w:val="24"/>
        </w:rPr>
        <w:t>带宽：1.4M</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rPr>
        <w:t>2</w:t>
      </w:r>
      <w:r>
        <w:rPr>
          <w:rFonts w:hint="eastAsia" w:ascii="微软雅黑" w:hAnsi="微软雅黑" w:eastAsia="微软雅黑" w:cs="宋体"/>
          <w:color w:val="000000"/>
          <w:sz w:val="24"/>
          <w:szCs w:val="24"/>
          <w:lang w:eastAsia="zh-CN"/>
        </w:rPr>
        <w:t>、</w:t>
      </w:r>
      <w:r>
        <w:rPr>
          <w:rFonts w:hint="eastAsia" w:ascii="微软雅黑" w:hAnsi="微软雅黑" w:eastAsia="微软雅黑" w:cs="宋体"/>
          <w:color w:val="000000"/>
          <w:sz w:val="24"/>
          <w:szCs w:val="24"/>
        </w:rPr>
        <w:t xml:space="preserve">可检测最大胶带厚度：80mm         </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rPr>
        <w:t>3</w:t>
      </w:r>
      <w:r>
        <w:rPr>
          <w:rFonts w:hint="eastAsia" w:ascii="微软雅黑" w:hAnsi="微软雅黑" w:eastAsia="微软雅黑" w:cs="宋体"/>
          <w:color w:val="000000"/>
          <w:sz w:val="24"/>
          <w:szCs w:val="24"/>
          <w:lang w:eastAsia="zh-CN"/>
        </w:rPr>
        <w:t>、</w:t>
      </w:r>
      <w:r>
        <w:rPr>
          <w:rFonts w:hint="eastAsia" w:ascii="微软雅黑" w:hAnsi="微软雅黑" w:eastAsia="微软雅黑" w:cs="宋体"/>
          <w:color w:val="000000"/>
          <w:sz w:val="24"/>
          <w:szCs w:val="24"/>
        </w:rPr>
        <w:t>同时满足带速：0-9.6米/S；</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rPr>
        <w:t>4、接头硫化等级：自动识别一级至四级或混合搭接的接头；</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rPr>
        <w:t>5、工作环境温度：0℃～+40℃；工作环境湿度：不大于95％（+25℃）；</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rPr>
        <w:t>6、系统电源电压：交流127v/220v；</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rPr>
        <w:t>7、接头和断绳判断纵向距离误差±50mm，横向距离误差10mm；</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rPr>
        <w:t>8、分别率0.8mm×0.8mm；</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rPr>
        <w:t>9、可识别最小断裂0.8mm；</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lang w:val="en-US" w:eastAsia="zh-CN"/>
        </w:rPr>
        <w:t>10、</w:t>
      </w:r>
      <w:r>
        <w:rPr>
          <w:rFonts w:hint="eastAsia" w:ascii="微软雅黑" w:hAnsi="微软雅黑" w:eastAsia="微软雅黑" w:cs="宋体"/>
          <w:color w:val="000000"/>
          <w:sz w:val="24"/>
          <w:szCs w:val="24"/>
        </w:rPr>
        <w:t>可识别最小抽动：0.8mm；</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rPr>
        <w:t>1</w:t>
      </w:r>
      <w:r>
        <w:rPr>
          <w:rFonts w:hint="eastAsia" w:ascii="微软雅黑" w:hAnsi="微软雅黑" w:eastAsia="微软雅黑" w:cs="宋体"/>
          <w:color w:val="000000"/>
          <w:sz w:val="24"/>
          <w:szCs w:val="24"/>
          <w:lang w:val="en-US" w:eastAsia="zh-CN"/>
        </w:rPr>
        <w:t>1</w:t>
      </w:r>
      <w:r>
        <w:rPr>
          <w:rFonts w:hint="eastAsia" w:ascii="微软雅黑" w:hAnsi="微软雅黑" w:eastAsia="微软雅黑" w:cs="宋体"/>
          <w:color w:val="000000"/>
          <w:sz w:val="24"/>
          <w:szCs w:val="24"/>
        </w:rPr>
        <w:t>、信号传输方式：光纤；</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rPr>
        <w:t>1</w:t>
      </w:r>
      <w:r>
        <w:rPr>
          <w:rFonts w:hint="eastAsia" w:ascii="微软雅黑" w:hAnsi="微软雅黑" w:eastAsia="微软雅黑" w:cs="宋体"/>
          <w:color w:val="000000"/>
          <w:sz w:val="24"/>
          <w:szCs w:val="24"/>
          <w:lang w:val="en-US" w:eastAsia="zh-CN"/>
        </w:rPr>
        <w:t>2</w:t>
      </w:r>
      <w:r>
        <w:rPr>
          <w:rFonts w:hint="eastAsia" w:ascii="微软雅黑" w:hAnsi="微软雅黑" w:eastAsia="微软雅黑" w:cs="宋体"/>
          <w:color w:val="000000"/>
          <w:sz w:val="24"/>
          <w:szCs w:val="24"/>
        </w:rPr>
        <w:t>、采集方式：X射线；</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rPr>
        <w:t>1</w:t>
      </w:r>
      <w:r>
        <w:rPr>
          <w:rFonts w:hint="eastAsia" w:ascii="微软雅黑" w:hAnsi="微软雅黑" w:eastAsia="微软雅黑" w:cs="宋体"/>
          <w:color w:val="000000"/>
          <w:sz w:val="24"/>
          <w:szCs w:val="24"/>
          <w:lang w:val="en-US" w:eastAsia="zh-CN"/>
        </w:rPr>
        <w:t>3</w:t>
      </w:r>
      <w:r>
        <w:rPr>
          <w:rFonts w:hint="eastAsia" w:ascii="微软雅黑" w:hAnsi="微软雅黑" w:eastAsia="微软雅黑" w:cs="宋体"/>
          <w:color w:val="000000"/>
          <w:sz w:val="24"/>
          <w:szCs w:val="24"/>
        </w:rPr>
        <w:t>、X射线源电压范围极限160KV/0.7mA;</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lang w:val="en-US" w:eastAsia="zh-CN"/>
        </w:rPr>
        <w:t>14、</w:t>
      </w:r>
      <w:r>
        <w:rPr>
          <w:rFonts w:hint="eastAsia" w:ascii="微软雅黑" w:hAnsi="微软雅黑" w:eastAsia="微软雅黑" w:cs="宋体"/>
          <w:color w:val="000000"/>
          <w:sz w:val="24"/>
          <w:szCs w:val="24"/>
        </w:rPr>
        <w:t>射线剂量≤0.5mR/h；</w:t>
      </w:r>
    </w:p>
    <w:p>
      <w:pPr>
        <w:spacing w:line="480" w:lineRule="exact"/>
        <w:ind w:firstLine="480" w:firstLineChars="200"/>
        <w:rPr>
          <w:rFonts w:hint="eastAsia"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15、主要功能</w:t>
      </w:r>
    </w:p>
    <w:p>
      <w:pPr>
        <w:spacing w:line="480" w:lineRule="exact"/>
        <w:ind w:firstLine="480" w:firstLineChars="200"/>
        <w:rPr>
          <w:rFonts w:hint="default"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（1）</w:t>
      </w:r>
      <w:r>
        <w:rPr>
          <w:rFonts w:hint="default" w:ascii="微软雅黑" w:hAnsi="微软雅黑" w:eastAsia="微软雅黑" w:cs="宋体"/>
          <w:color w:val="000000"/>
          <w:sz w:val="24"/>
          <w:szCs w:val="24"/>
          <w:lang w:val="en-US" w:eastAsia="zh-CN"/>
        </w:rPr>
        <w:t>实时显示：皮带运行状态实时显示在电脑屏幕。</w:t>
      </w:r>
    </w:p>
    <w:p>
      <w:pPr>
        <w:spacing w:line="480" w:lineRule="exact"/>
        <w:ind w:firstLine="480" w:firstLineChars="200"/>
        <w:rPr>
          <w:rFonts w:hint="default"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（2）</w:t>
      </w:r>
      <w:r>
        <w:rPr>
          <w:rFonts w:hint="default" w:ascii="微软雅黑" w:hAnsi="微软雅黑" w:eastAsia="微软雅黑" w:cs="宋体"/>
          <w:color w:val="000000"/>
          <w:sz w:val="24"/>
          <w:szCs w:val="24"/>
          <w:lang w:val="en-US" w:eastAsia="zh-CN"/>
        </w:rPr>
        <w:t>全息存储：采集的胶带数据通过多线程和特殊的磁盘操作方式，完整的存储到硬盘，保证在处理和回看时，能得到与实际胶带基本没有差别的胶带图像。</w:t>
      </w:r>
    </w:p>
    <w:p>
      <w:pPr>
        <w:spacing w:line="480" w:lineRule="exact"/>
        <w:ind w:firstLine="480" w:firstLineChars="200"/>
        <w:rPr>
          <w:rFonts w:hint="default"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（3）</w:t>
      </w:r>
      <w:r>
        <w:rPr>
          <w:rFonts w:hint="default" w:ascii="微软雅黑" w:hAnsi="微软雅黑" w:eastAsia="微软雅黑" w:cs="宋体"/>
          <w:color w:val="000000"/>
          <w:sz w:val="24"/>
          <w:szCs w:val="24"/>
          <w:lang w:val="en-US" w:eastAsia="zh-CN"/>
        </w:rPr>
        <w:t>自动识别：利用频域和值域对胶带数据进行自动分析，无需人员辅助，完成对整条胶带数据中的断裂、异常和接头抽动的情况的识别，并将各种缺陷分类罗列，方便用户针对性维修。</w:t>
      </w:r>
    </w:p>
    <w:p>
      <w:pPr>
        <w:spacing w:line="480" w:lineRule="exact"/>
        <w:ind w:firstLine="480" w:firstLineChars="200"/>
        <w:rPr>
          <w:rFonts w:hint="default"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（4）</w:t>
      </w:r>
      <w:r>
        <w:rPr>
          <w:rFonts w:hint="default" w:ascii="微软雅黑" w:hAnsi="微软雅黑" w:eastAsia="微软雅黑" w:cs="宋体"/>
          <w:color w:val="000000"/>
          <w:sz w:val="24"/>
          <w:szCs w:val="24"/>
          <w:lang w:val="en-US" w:eastAsia="zh-CN"/>
        </w:rPr>
        <w:t>录像回放：重现整条胶带运行全过程，且可以对胶带运行速度进行调整，以便用户进行详细的查看，双击任何一个缺陷能自动跳转到对应的缺陷图像位置，减少用户翻阅时间。</w:t>
      </w:r>
    </w:p>
    <w:p>
      <w:pPr>
        <w:spacing w:line="480" w:lineRule="exact"/>
        <w:ind w:firstLine="480" w:firstLineChars="200"/>
        <w:rPr>
          <w:rFonts w:hint="default"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（5）</w:t>
      </w:r>
      <w:r>
        <w:rPr>
          <w:rFonts w:hint="default" w:ascii="微软雅黑" w:hAnsi="微软雅黑" w:eastAsia="微软雅黑" w:cs="宋体"/>
          <w:color w:val="000000"/>
          <w:sz w:val="24"/>
          <w:szCs w:val="24"/>
          <w:lang w:val="en-US" w:eastAsia="zh-CN"/>
        </w:rPr>
        <w:t>缺陷定位：利用像素数据，精确对识别到的每个缺陷所在位置进行定位，并将位置信息显示在观察窗口和报告中。</w:t>
      </w:r>
    </w:p>
    <w:p>
      <w:pPr>
        <w:spacing w:line="480" w:lineRule="exact"/>
        <w:ind w:firstLine="480" w:firstLineChars="200"/>
        <w:rPr>
          <w:rFonts w:hint="default"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（6）</w:t>
      </w:r>
      <w:r>
        <w:rPr>
          <w:rFonts w:hint="default" w:ascii="微软雅黑" w:hAnsi="微软雅黑" w:eastAsia="微软雅黑" w:cs="宋体"/>
          <w:color w:val="000000"/>
          <w:sz w:val="24"/>
          <w:szCs w:val="24"/>
          <w:lang w:val="en-US" w:eastAsia="zh-CN"/>
        </w:rPr>
        <w:t>高倍放大：利用放大镜原理，实现对各类缺陷进行细微观察，包括劈丝、锈蚀等。</w:t>
      </w:r>
    </w:p>
    <w:p>
      <w:pPr>
        <w:spacing w:line="480" w:lineRule="exact"/>
        <w:ind w:firstLine="480" w:firstLineChars="200"/>
        <w:rPr>
          <w:rFonts w:hint="default"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（7）</w:t>
      </w:r>
      <w:r>
        <w:rPr>
          <w:rFonts w:hint="default" w:ascii="微软雅黑" w:hAnsi="微软雅黑" w:eastAsia="微软雅黑" w:cs="宋体"/>
          <w:color w:val="000000"/>
          <w:sz w:val="24"/>
          <w:szCs w:val="24"/>
          <w:lang w:val="en-US" w:eastAsia="zh-CN"/>
        </w:rPr>
        <w:t>精确测距：通过简单操作，可对胶带内任意两点进行距离测量，精确单位达到1mm。</w:t>
      </w:r>
    </w:p>
    <w:p>
      <w:pPr>
        <w:spacing w:line="480" w:lineRule="exact"/>
        <w:ind w:firstLine="480" w:firstLineChars="200"/>
        <w:rPr>
          <w:rFonts w:hint="default"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（8）</w:t>
      </w:r>
      <w:r>
        <w:rPr>
          <w:rFonts w:hint="default" w:ascii="微软雅黑" w:hAnsi="微软雅黑" w:eastAsia="微软雅黑" w:cs="宋体"/>
          <w:color w:val="000000"/>
          <w:sz w:val="24"/>
          <w:szCs w:val="24"/>
          <w:lang w:val="en-US" w:eastAsia="zh-CN"/>
        </w:rPr>
        <w:t>接头强度计算：按照胶带实际运行时的张力、GB/T9770-2013，检测到的接头数据可计算出安全系数，给维护人员提供准确依据。</w:t>
      </w:r>
    </w:p>
    <w:p>
      <w:pPr>
        <w:spacing w:line="480" w:lineRule="exact"/>
        <w:ind w:firstLine="480" w:firstLineChars="200"/>
        <w:rPr>
          <w:rFonts w:hint="default"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（9）</w:t>
      </w:r>
      <w:r>
        <w:rPr>
          <w:rFonts w:hint="default" w:ascii="微软雅黑" w:hAnsi="微软雅黑" w:eastAsia="微软雅黑" w:cs="宋体"/>
          <w:color w:val="000000"/>
          <w:sz w:val="24"/>
          <w:szCs w:val="24"/>
          <w:lang w:val="en-US" w:eastAsia="zh-CN"/>
        </w:rPr>
        <w:t>图文报告：检测完成后，只需点击“报告按钮”，软件会自动将本次测试过程中识别到的缺陷图片、缺陷位置、缺陷大小等信息自动排序，并自动生成图文报告。一键打印检测报告，给出处理建议。</w:t>
      </w:r>
    </w:p>
    <w:p>
      <w:pPr>
        <w:spacing w:line="480" w:lineRule="exact"/>
        <w:ind w:firstLine="480" w:firstLineChars="200"/>
        <w:rPr>
          <w:rFonts w:hint="default"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（10）</w:t>
      </w:r>
      <w:r>
        <w:rPr>
          <w:rFonts w:hint="default" w:ascii="微软雅黑" w:hAnsi="微软雅黑" w:eastAsia="微软雅黑" w:cs="宋体"/>
          <w:color w:val="000000"/>
          <w:sz w:val="24"/>
          <w:szCs w:val="24"/>
          <w:lang w:val="en-US" w:eastAsia="zh-CN"/>
        </w:rPr>
        <w:t>无人值守：设备调试完成后，无需人员操作和看管，自动根据皮带运行情况自行启动和停止。上位机可远距离操作，避免了射线对操作人员的伤害。</w:t>
      </w:r>
    </w:p>
    <w:p>
      <w:pPr>
        <w:spacing w:line="480" w:lineRule="exact"/>
        <w:ind w:firstLine="480" w:firstLineChars="200"/>
        <w:rPr>
          <w:rFonts w:hint="default"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（11）</w:t>
      </w:r>
      <w:r>
        <w:rPr>
          <w:rFonts w:hint="default" w:ascii="微软雅黑" w:hAnsi="微软雅黑" w:eastAsia="微软雅黑" w:cs="宋体"/>
          <w:color w:val="000000"/>
          <w:sz w:val="24"/>
          <w:szCs w:val="24"/>
          <w:lang w:val="en-US" w:eastAsia="zh-CN"/>
        </w:rPr>
        <w:t>一拖多：方便管理、集中控制，一台计算机可至少同时控制两套矿用钢绳芯输送带无损检测系统，并能实现系统兼容。</w:t>
      </w:r>
    </w:p>
    <w:p>
      <w:pPr>
        <w:spacing w:line="480" w:lineRule="exact"/>
        <w:ind w:firstLine="480" w:firstLineChars="200"/>
        <w:rPr>
          <w:rFonts w:hint="eastAsia"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（12）实现web发布功能。</w:t>
      </w:r>
    </w:p>
    <w:p>
      <w:pPr>
        <w:pStyle w:val="2"/>
        <w:rPr>
          <w:rFonts w:hint="default"/>
          <w:lang w:val="en-US" w:eastAsia="zh-CN"/>
        </w:rPr>
      </w:pPr>
    </w:p>
    <w:p>
      <w:pPr>
        <w:pStyle w:val="13"/>
        <w:adjustRightInd w:val="0"/>
        <w:spacing w:line="480" w:lineRule="exact"/>
        <w:ind w:firstLine="0" w:firstLineChars="0"/>
        <w:rPr>
          <w:rFonts w:ascii="微软雅黑" w:hAnsi="微软雅黑" w:eastAsia="微软雅黑" w:cs="宋体"/>
          <w:b/>
          <w:sz w:val="24"/>
          <w:szCs w:val="24"/>
        </w:rPr>
      </w:pPr>
      <w:r>
        <w:rPr>
          <w:rFonts w:hint="eastAsia" w:ascii="微软雅黑" w:hAnsi="微软雅黑" w:eastAsia="微软雅黑" w:cs="宋体"/>
          <w:b/>
          <w:sz w:val="24"/>
          <w:szCs w:val="24"/>
          <w:lang w:val="en-US" w:eastAsia="zh-CN"/>
        </w:rPr>
        <w:t>六</w:t>
      </w:r>
      <w:r>
        <w:rPr>
          <w:rFonts w:hint="eastAsia" w:ascii="微软雅黑" w:hAnsi="微软雅黑" w:eastAsia="微软雅黑" w:cs="宋体"/>
          <w:b/>
          <w:sz w:val="24"/>
          <w:szCs w:val="24"/>
        </w:rPr>
        <w:t>、其他事项和技术服务</w:t>
      </w:r>
    </w:p>
    <w:p>
      <w:pPr>
        <w:pStyle w:val="13"/>
        <w:adjustRightInd w:val="0"/>
        <w:spacing w:line="480" w:lineRule="exact"/>
        <w:ind w:firstLine="480" w:firstLineChars="0"/>
        <w:rPr>
          <w:rFonts w:ascii="微软雅黑" w:hAnsi="微软雅黑" w:eastAsia="微软雅黑" w:cs="宋体"/>
          <w:bCs/>
          <w:sz w:val="24"/>
          <w:szCs w:val="24"/>
        </w:rPr>
      </w:pPr>
      <w:r>
        <w:rPr>
          <w:rFonts w:hint="eastAsia" w:ascii="微软雅黑" w:hAnsi="微软雅黑" w:eastAsia="微软雅黑" w:cs="宋体"/>
          <w:bCs/>
          <w:sz w:val="24"/>
          <w:szCs w:val="24"/>
        </w:rPr>
        <w:t>1、以上所列招标项目的技术要求、配置作为技术参考，如有优于或等同于的技术配置和安装布置方式的亦可采用，但需事先征得买方同意，并做详细说明。</w:t>
      </w:r>
    </w:p>
    <w:p>
      <w:pPr>
        <w:pStyle w:val="13"/>
        <w:adjustRightInd w:val="0"/>
        <w:snapToGrid w:val="0"/>
        <w:spacing w:line="480" w:lineRule="exact"/>
        <w:ind w:firstLineChars="0"/>
        <w:jc w:val="left"/>
        <w:outlineLvl w:val="0"/>
        <w:rPr>
          <w:rFonts w:ascii="微软雅黑" w:hAnsi="微软雅黑" w:eastAsia="微软雅黑" w:cs="宋体"/>
          <w:sz w:val="24"/>
          <w:szCs w:val="24"/>
        </w:rPr>
      </w:pPr>
      <w:r>
        <w:rPr>
          <w:rFonts w:hint="eastAsia" w:ascii="微软雅黑" w:hAnsi="微软雅黑" w:eastAsia="微软雅黑" w:cs="宋体"/>
          <w:sz w:val="24"/>
          <w:szCs w:val="24"/>
        </w:rPr>
        <w:t>2、乙方产品按国标及行业标准执行，产品质量实行“三包”。乙方发货时随机附带的文件包含但不限于：完整安装使用说明书、产品合格证、出厂检验报告，备案文件完全匹配技术协议所签订的产品，如有违反，所造成的直接或间接的一切责任将由乙方承担，如对客户生产及其他设备造成的经济损失的，应无条件赔偿相关损失。</w:t>
      </w:r>
    </w:p>
    <w:p>
      <w:pPr>
        <w:pStyle w:val="13"/>
        <w:adjustRightInd w:val="0"/>
        <w:snapToGrid w:val="0"/>
        <w:spacing w:line="480" w:lineRule="exact"/>
        <w:ind w:firstLineChars="0"/>
        <w:jc w:val="left"/>
        <w:outlineLvl w:val="0"/>
        <w:rPr>
          <w:rFonts w:ascii="微软雅黑" w:hAnsi="微软雅黑" w:eastAsia="微软雅黑" w:cs="宋体"/>
          <w:sz w:val="24"/>
          <w:szCs w:val="24"/>
        </w:rPr>
      </w:pPr>
      <w:r>
        <w:rPr>
          <w:rFonts w:hint="eastAsia" w:ascii="微软雅黑" w:hAnsi="微软雅黑" w:eastAsia="微软雅黑" w:cs="宋体"/>
          <w:sz w:val="24"/>
          <w:szCs w:val="24"/>
        </w:rPr>
        <w:t>3、乙方承诺在货到客户工厂或现场时，按照客户要求时间内安排技术人员</w:t>
      </w:r>
      <w:r>
        <w:rPr>
          <w:rFonts w:hint="eastAsia" w:ascii="微软雅黑" w:hAnsi="微软雅黑" w:eastAsia="微软雅黑" w:cs="宋体"/>
          <w:sz w:val="24"/>
        </w:rPr>
        <w:t>提供免费技术指导、培训，免费指导设备调试安装</w:t>
      </w:r>
      <w:r>
        <w:rPr>
          <w:rFonts w:hint="eastAsia" w:ascii="微软雅黑" w:hAnsi="微软雅黑" w:eastAsia="微软雅黑" w:cs="宋体"/>
          <w:sz w:val="24"/>
          <w:szCs w:val="24"/>
        </w:rPr>
        <w:t>。</w:t>
      </w:r>
    </w:p>
    <w:p>
      <w:pPr>
        <w:pStyle w:val="13"/>
        <w:adjustRightInd w:val="0"/>
        <w:snapToGrid w:val="0"/>
        <w:spacing w:line="480" w:lineRule="exact"/>
        <w:ind w:firstLineChars="0"/>
        <w:jc w:val="left"/>
        <w:outlineLvl w:val="0"/>
        <w:rPr>
          <w:rFonts w:ascii="微软雅黑" w:hAnsi="微软雅黑" w:eastAsia="微软雅黑" w:cs="宋体"/>
          <w:sz w:val="24"/>
          <w:szCs w:val="24"/>
        </w:rPr>
      </w:pPr>
      <w:r>
        <w:rPr>
          <w:rFonts w:hint="eastAsia" w:ascii="微软雅黑" w:hAnsi="微软雅黑" w:eastAsia="微软雅黑" w:cs="宋体"/>
          <w:sz w:val="24"/>
          <w:szCs w:val="24"/>
        </w:rPr>
        <w:t>4、乙方在接到客户技术服务申请后，于2小时内快速响应，并在24小时内安排人员到达现场解决问题，直至问题解决。</w:t>
      </w:r>
    </w:p>
    <w:p>
      <w:pPr>
        <w:pStyle w:val="13"/>
        <w:adjustRightInd w:val="0"/>
        <w:snapToGrid w:val="0"/>
        <w:spacing w:line="480" w:lineRule="exact"/>
        <w:ind w:firstLineChars="0"/>
        <w:jc w:val="left"/>
        <w:outlineLvl w:val="0"/>
        <w:rPr>
          <w:rFonts w:ascii="微软雅黑" w:hAnsi="微软雅黑" w:eastAsia="微软雅黑" w:cs="宋体"/>
          <w:sz w:val="24"/>
          <w:szCs w:val="24"/>
        </w:rPr>
      </w:pPr>
      <w:r>
        <w:rPr>
          <w:rFonts w:hint="eastAsia" w:ascii="微软雅黑" w:hAnsi="微软雅黑" w:eastAsia="微软雅黑" w:cs="宋体"/>
          <w:sz w:val="24"/>
          <w:szCs w:val="24"/>
        </w:rPr>
        <w:t>5、因乙方供应的设备不符合技术协议中所规定的条款及产品质质量原因造成使用问题，乙方应无条件免费维修或更换，如对客户生产及其他设备造成的经济损失的，供应商应无条件赔偿相关损失。</w:t>
      </w:r>
    </w:p>
    <w:p>
      <w:pPr>
        <w:pStyle w:val="13"/>
        <w:adjustRightInd w:val="0"/>
        <w:snapToGrid w:val="0"/>
        <w:spacing w:line="480" w:lineRule="exact"/>
        <w:ind w:firstLineChars="0"/>
        <w:jc w:val="left"/>
        <w:outlineLvl w:val="0"/>
        <w:rPr>
          <w:rFonts w:ascii="微软雅黑" w:hAnsi="微软雅黑" w:eastAsia="微软雅黑" w:cs="宋体"/>
          <w:sz w:val="24"/>
          <w:szCs w:val="24"/>
        </w:rPr>
      </w:pPr>
      <w:r>
        <w:rPr>
          <w:rFonts w:hint="eastAsia" w:ascii="微软雅黑" w:hAnsi="微软雅黑" w:eastAsia="微软雅黑" w:cs="宋体"/>
          <w:sz w:val="24"/>
          <w:szCs w:val="24"/>
        </w:rPr>
        <w:t>6、当客户对乙方提供的设备和材料有质量疑问时，经双方协商后可进行必要的材质、性能、可靠性等品质检验。解释双方应相互配合，不应无故拖延。</w:t>
      </w:r>
    </w:p>
    <w:p>
      <w:pPr>
        <w:pStyle w:val="13"/>
        <w:adjustRightInd w:val="0"/>
        <w:snapToGrid w:val="0"/>
        <w:spacing w:line="480" w:lineRule="exact"/>
        <w:ind w:firstLine="480"/>
        <w:jc w:val="left"/>
        <w:outlineLvl w:val="0"/>
        <w:rPr>
          <w:rFonts w:ascii="微软雅黑" w:hAnsi="微软雅黑" w:eastAsia="微软雅黑" w:cs="宋体"/>
          <w:bCs/>
          <w:sz w:val="24"/>
          <w:szCs w:val="24"/>
          <w:highlight w:val="yellow"/>
        </w:rPr>
      </w:pPr>
      <w:r>
        <w:rPr>
          <w:rFonts w:hint="eastAsia" w:ascii="微软雅黑" w:hAnsi="微软雅黑" w:eastAsia="微软雅黑" w:cs="宋体"/>
          <w:sz w:val="24"/>
        </w:rPr>
        <w:t>7、</w:t>
      </w:r>
      <w:r>
        <w:rPr>
          <w:rFonts w:hint="eastAsia" w:ascii="微软雅黑" w:hAnsi="微软雅黑" w:eastAsia="微软雅黑" w:cs="宋体"/>
          <w:sz w:val="24"/>
          <w:szCs w:val="24"/>
        </w:rPr>
        <w:t>整机质保期为设备在使用现场验收合格并正式投入使用后</w:t>
      </w:r>
      <w:r>
        <w:rPr>
          <w:rFonts w:hint="eastAsia" w:ascii="微软雅黑" w:hAnsi="微软雅黑" w:eastAsia="微软雅黑" w:cs="宋体"/>
          <w:sz w:val="24"/>
          <w:szCs w:val="24"/>
          <w:lang w:val="en-US" w:eastAsia="zh-CN"/>
        </w:rPr>
        <w:t>60</w:t>
      </w:r>
      <w:bookmarkStart w:id="3" w:name="_GoBack"/>
      <w:bookmarkEnd w:id="3"/>
      <w:r>
        <w:rPr>
          <w:rFonts w:hint="eastAsia" w:ascii="微软雅黑" w:hAnsi="微软雅黑" w:eastAsia="微软雅黑" w:cs="宋体"/>
          <w:sz w:val="24"/>
          <w:szCs w:val="24"/>
        </w:rPr>
        <w:t>个月</w:t>
      </w:r>
      <w:r>
        <w:rPr>
          <w:rFonts w:hint="eastAsia" w:ascii="微软雅黑" w:hAnsi="微软雅黑" w:eastAsia="微软雅黑" w:cs="宋体"/>
          <w:sz w:val="24"/>
        </w:rPr>
        <w:t>，质保期外优先提供服务，并以优惠价格提供备品备件。</w:t>
      </w:r>
      <w:bookmarkEnd w:id="2"/>
    </w:p>
    <w:p>
      <w:pPr>
        <w:adjustRightInd w:val="0"/>
        <w:spacing w:line="480" w:lineRule="exact"/>
        <w:outlineLvl w:val="0"/>
        <w:rPr>
          <w:rFonts w:ascii="微软雅黑" w:hAnsi="微软雅黑" w:eastAsia="微软雅黑" w:cs="宋体"/>
          <w:b/>
          <w:bCs/>
          <w:sz w:val="24"/>
          <w:szCs w:val="24"/>
        </w:rPr>
      </w:pPr>
      <w:r>
        <w:rPr>
          <w:rFonts w:hint="eastAsia" w:ascii="微软雅黑" w:hAnsi="微软雅黑" w:eastAsia="微软雅黑" w:cs="宋体"/>
          <w:b/>
          <w:bCs/>
          <w:sz w:val="24"/>
          <w:szCs w:val="24"/>
          <w:lang w:val="en-US" w:eastAsia="zh-CN"/>
        </w:rPr>
        <w:t>七</w:t>
      </w:r>
      <w:r>
        <w:rPr>
          <w:rFonts w:hint="eastAsia" w:ascii="微软雅黑" w:hAnsi="微软雅黑" w:eastAsia="微软雅黑" w:cs="宋体"/>
          <w:b/>
          <w:bCs/>
          <w:sz w:val="24"/>
          <w:szCs w:val="24"/>
        </w:rPr>
        <w:t>、其他要求</w:t>
      </w:r>
    </w:p>
    <w:p>
      <w:pPr>
        <w:spacing w:line="480" w:lineRule="exact"/>
        <w:ind w:firstLine="480" w:firstLineChars="200"/>
        <w:rPr>
          <w:rFonts w:ascii="微软雅黑" w:hAnsi="微软雅黑" w:eastAsia="微软雅黑" w:cs="宋体"/>
          <w:sz w:val="24"/>
        </w:rPr>
      </w:pPr>
      <w:r>
        <w:rPr>
          <w:rFonts w:hint="eastAsia" w:ascii="微软雅黑" w:hAnsi="微软雅黑" w:eastAsia="微软雅黑" w:cs="宋体"/>
          <w:sz w:val="24"/>
          <w:szCs w:val="24"/>
        </w:rPr>
        <w:t>1、</w:t>
      </w:r>
      <w:r>
        <w:rPr>
          <w:rFonts w:hint="eastAsia" w:ascii="微软雅黑" w:hAnsi="微软雅黑" w:eastAsia="微软雅黑" w:cs="宋体"/>
          <w:sz w:val="24"/>
        </w:rPr>
        <w:t>提供</w:t>
      </w:r>
      <w:r>
        <w:rPr>
          <w:rFonts w:hint="eastAsia" w:ascii="微软雅黑" w:hAnsi="微软雅黑" w:eastAsia="微软雅黑" w:cs="宋体"/>
          <w:sz w:val="24"/>
          <w:lang w:val="en-US" w:eastAsia="zh-CN"/>
        </w:rPr>
        <w:t>产品的</w:t>
      </w:r>
      <w:r>
        <w:rPr>
          <w:rFonts w:hint="eastAsia" w:ascii="微软雅黑" w:hAnsi="微软雅黑" w:eastAsia="微软雅黑" w:cs="宋体"/>
          <w:sz w:val="24"/>
        </w:rPr>
        <w:t>安全技术规范要求的设计文件、产品质量合格证明</w:t>
      </w:r>
      <w:r>
        <w:rPr>
          <w:rFonts w:hint="eastAsia" w:ascii="微软雅黑" w:hAnsi="微软雅黑" w:eastAsia="微软雅黑" w:cs="宋体"/>
          <w:sz w:val="24"/>
          <w:lang w:eastAsia="zh-CN"/>
        </w:rPr>
        <w:t>、</w:t>
      </w:r>
      <w:r>
        <w:rPr>
          <w:rFonts w:hint="eastAsia" w:ascii="微软雅黑" w:hAnsi="微软雅黑" w:eastAsia="微软雅黑" w:cs="宋体"/>
          <w:sz w:val="24"/>
        </w:rPr>
        <w:t>矿用安全标志证书</w:t>
      </w:r>
      <w:r>
        <w:rPr>
          <w:rFonts w:hint="eastAsia" w:ascii="微软雅黑" w:hAnsi="微软雅黑" w:eastAsia="微软雅黑" w:cs="宋体"/>
          <w:sz w:val="24"/>
          <w:lang w:eastAsia="zh-CN"/>
        </w:rPr>
        <w:t>、</w:t>
      </w:r>
      <w:r>
        <w:rPr>
          <w:rFonts w:hint="eastAsia" w:ascii="微软雅黑" w:hAnsi="微软雅黑" w:eastAsia="微软雅黑" w:cs="宋体"/>
          <w:sz w:val="24"/>
          <w:lang w:val="en-US" w:eastAsia="zh-CN"/>
        </w:rPr>
        <w:t>防爆合格证</w:t>
      </w:r>
      <w:r>
        <w:rPr>
          <w:rFonts w:hint="eastAsia" w:ascii="微软雅黑" w:hAnsi="微软雅黑" w:eastAsia="微软雅黑" w:cs="宋体"/>
          <w:sz w:val="24"/>
        </w:rPr>
        <w:t>、安装及使用维修说明等文件。</w:t>
      </w:r>
    </w:p>
    <w:p>
      <w:pPr>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rPr>
        <w:t>2、</w:t>
      </w:r>
      <w:r>
        <w:rPr>
          <w:rFonts w:hint="eastAsia" w:ascii="微软雅黑" w:hAnsi="微软雅黑" w:eastAsia="微软雅黑" w:cs="宋体"/>
          <w:sz w:val="24"/>
          <w:szCs w:val="24"/>
        </w:rPr>
        <w:t>交货日期：以合同交货期为准。</w:t>
      </w:r>
    </w:p>
    <w:p>
      <w:pPr>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lang w:val="en-US" w:eastAsia="zh-CN"/>
        </w:rPr>
        <w:t>3</w:t>
      </w:r>
      <w:r>
        <w:rPr>
          <w:rFonts w:hint="eastAsia" w:ascii="微软雅黑" w:hAnsi="微软雅黑" w:eastAsia="微软雅黑" w:cs="宋体"/>
          <w:sz w:val="24"/>
          <w:szCs w:val="24"/>
        </w:rPr>
        <w:t xml:space="preserve">、到货地点：东怀煤矿。              </w:t>
      </w:r>
    </w:p>
    <w:p>
      <w:pPr>
        <w:tabs>
          <w:tab w:val="left" w:pos="3650"/>
        </w:tabs>
        <w:spacing w:line="480" w:lineRule="exact"/>
        <w:rPr>
          <w:rFonts w:ascii="微软雅黑" w:hAnsi="微软雅黑" w:eastAsia="微软雅黑" w:cs="宋体"/>
          <w:b/>
          <w:sz w:val="24"/>
          <w:szCs w:val="24"/>
        </w:rPr>
      </w:pPr>
      <w:r>
        <w:rPr>
          <w:rFonts w:hint="eastAsia" w:ascii="微软雅黑" w:hAnsi="微软雅黑" w:eastAsia="微软雅黑" w:cs="宋体"/>
          <w:b/>
          <w:sz w:val="24"/>
          <w:szCs w:val="24"/>
          <w:lang w:val="en-US" w:eastAsia="zh-CN"/>
        </w:rPr>
        <w:t>八</w:t>
      </w:r>
      <w:r>
        <w:rPr>
          <w:rFonts w:hint="eastAsia" w:ascii="微软雅黑" w:hAnsi="微软雅黑" w:eastAsia="微软雅黑" w:cs="宋体"/>
          <w:b/>
          <w:sz w:val="24"/>
          <w:szCs w:val="24"/>
        </w:rPr>
        <w:t>、运输及包装要求</w:t>
      </w:r>
    </w:p>
    <w:p>
      <w:pPr>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1、产品单独出厂时应在明显部位固定标牌，其内容包括产品名称、型号、主要技术参数、制造厂家名称、出厂日期等信息；</w:t>
      </w:r>
    </w:p>
    <w:p>
      <w:pPr>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 xml:space="preserve">2、运输时应具有防潮能力，结实可靠，防止损坏、变形以及面漆擦伤； </w:t>
      </w:r>
    </w:p>
    <w:p>
      <w:pPr>
        <w:spacing w:line="480" w:lineRule="exact"/>
        <w:ind w:firstLine="480" w:firstLineChars="200"/>
        <w:rPr>
          <w:rFonts w:ascii="微软雅黑" w:hAnsi="微软雅黑" w:eastAsia="微软雅黑" w:cs="宋体"/>
          <w:sz w:val="24"/>
          <w:szCs w:val="24"/>
        </w:rPr>
      </w:pPr>
      <w:r>
        <w:rPr>
          <w:rFonts w:ascii="微软雅黑" w:hAnsi="微软雅黑" w:eastAsia="微软雅黑" w:cs="宋体"/>
          <w:sz w:val="24"/>
          <w:szCs w:val="24"/>
        </w:rPr>
        <w:t>3</w:t>
      </w:r>
      <w:r>
        <w:rPr>
          <w:rFonts w:hint="eastAsia" w:ascii="微软雅黑" w:hAnsi="微软雅黑" w:eastAsia="微软雅黑" w:cs="宋体"/>
          <w:sz w:val="24"/>
          <w:szCs w:val="24"/>
        </w:rPr>
        <w:t>、单独包装的零散件、部件等应有标签，标签应清楚、正确、持久、耐用，并与图样相适应；</w:t>
      </w:r>
    </w:p>
    <w:p>
      <w:pPr>
        <w:spacing w:line="480" w:lineRule="exact"/>
        <w:ind w:firstLine="480" w:firstLineChars="200"/>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val="en-US" w:eastAsia="zh-CN"/>
        </w:rPr>
        <w:t>4、</w:t>
      </w:r>
      <w:r>
        <w:rPr>
          <w:rFonts w:hint="eastAsia" w:ascii="微软雅黑" w:hAnsi="微软雅黑" w:eastAsia="微软雅黑" w:cs="宋体"/>
          <w:sz w:val="24"/>
          <w:szCs w:val="24"/>
        </w:rPr>
        <w:t>随机文件用塑料袋封好装入箱中，并在箱外注明“文件在此”字样</w:t>
      </w:r>
      <w:r>
        <w:rPr>
          <w:rFonts w:hint="eastAsia" w:ascii="微软雅黑" w:hAnsi="微软雅黑" w:eastAsia="微软雅黑" w:cs="宋体"/>
          <w:sz w:val="24"/>
          <w:szCs w:val="24"/>
          <w:lang w:eastAsia="zh-CN"/>
        </w:rPr>
        <w:t>；</w:t>
      </w:r>
    </w:p>
    <w:p>
      <w:pPr>
        <w:spacing w:line="480" w:lineRule="exact"/>
        <w:ind w:firstLine="480" w:firstLineChars="200"/>
        <w:rPr>
          <w:rFonts w:hint="eastAsia" w:ascii="微软雅黑" w:hAnsi="微软雅黑" w:eastAsia="微软雅黑" w:cs="宋体"/>
          <w:sz w:val="24"/>
          <w:szCs w:val="24"/>
        </w:rPr>
      </w:pPr>
      <w:r>
        <w:rPr>
          <w:rFonts w:hint="eastAsia" w:ascii="微软雅黑" w:hAnsi="微软雅黑" w:eastAsia="微软雅黑" w:cs="宋体"/>
          <w:sz w:val="24"/>
          <w:szCs w:val="24"/>
          <w:lang w:val="en-US" w:eastAsia="zh-CN"/>
        </w:rPr>
        <w:t>5、</w:t>
      </w:r>
      <w:r>
        <w:rPr>
          <w:rFonts w:hint="eastAsia" w:ascii="微软雅黑" w:hAnsi="微软雅黑" w:eastAsia="微软雅黑" w:cs="宋体"/>
          <w:sz w:val="24"/>
          <w:szCs w:val="24"/>
        </w:rPr>
        <w:t>运输费用由乙方负责。</w:t>
      </w:r>
    </w:p>
    <w:p>
      <w:pPr>
        <w:spacing w:line="480" w:lineRule="exact"/>
        <w:rPr>
          <w:rFonts w:ascii="微软雅黑" w:hAnsi="微软雅黑" w:eastAsia="微软雅黑" w:cs="宋体"/>
          <w:b/>
          <w:bCs/>
          <w:sz w:val="24"/>
          <w:szCs w:val="24"/>
        </w:rPr>
      </w:pPr>
      <w:r>
        <w:rPr>
          <w:rFonts w:hint="eastAsia" w:ascii="微软雅黑" w:hAnsi="微软雅黑" w:eastAsia="微软雅黑" w:cs="宋体"/>
          <w:b/>
          <w:bCs/>
          <w:sz w:val="24"/>
          <w:szCs w:val="24"/>
          <w:lang w:val="en-US" w:eastAsia="zh-CN"/>
        </w:rPr>
        <w:t>九</w:t>
      </w:r>
      <w:r>
        <w:rPr>
          <w:rFonts w:hint="eastAsia" w:ascii="微软雅黑" w:hAnsi="微软雅黑" w:eastAsia="微软雅黑" w:cs="宋体"/>
          <w:b/>
          <w:bCs/>
          <w:sz w:val="24"/>
          <w:szCs w:val="24"/>
        </w:rPr>
        <w:t>、其他</w:t>
      </w:r>
    </w:p>
    <w:p>
      <w:pPr>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1、本技术规格书未尽事宜，由双方协商确定。</w:t>
      </w:r>
    </w:p>
    <w:p>
      <w:pPr>
        <w:spacing w:line="480" w:lineRule="exact"/>
        <w:ind w:firstLine="480" w:firstLineChars="200"/>
        <w:rPr>
          <w:rFonts w:ascii="微软雅黑" w:hAnsi="微软雅黑" w:eastAsia="微软雅黑"/>
        </w:rPr>
      </w:pPr>
      <w:r>
        <w:rPr>
          <w:rFonts w:hint="eastAsia" w:ascii="微软雅黑" w:hAnsi="微软雅黑" w:eastAsia="微软雅黑" w:cs="宋体"/>
          <w:sz w:val="24"/>
          <w:szCs w:val="24"/>
        </w:rPr>
        <w:t>2、技术联系人：蓝红日13977601071</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0" w:firstLine="420"/>
      </w:pPr>
      <w:rPr>
        <w:rFonts w:hint="eastAsia"/>
      </w:rPr>
    </w:lvl>
  </w:abstractNum>
  <w:abstractNum w:abstractNumId="1">
    <w:nsid w:val="00000002"/>
    <w:multiLevelType w:val="multilevel"/>
    <w:tmpl w:val="00000002"/>
    <w:lvl w:ilvl="0" w:tentative="0">
      <w:start w:val="1"/>
      <w:numFmt w:val="decimal"/>
      <w:pStyle w:val="4"/>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N2YzNDA5OGQzZjAyODEyYjYwMDBiNmYxNDlmYjYifQ=="/>
  </w:docVars>
  <w:rsids>
    <w:rsidRoot w:val="00FE54DA"/>
    <w:rsid w:val="00083D01"/>
    <w:rsid w:val="00754E35"/>
    <w:rsid w:val="00F54DA6"/>
    <w:rsid w:val="00FE54DA"/>
    <w:rsid w:val="01280A37"/>
    <w:rsid w:val="1C5A2C1C"/>
    <w:rsid w:val="26814858"/>
    <w:rsid w:val="31943A79"/>
    <w:rsid w:val="3B4061AB"/>
    <w:rsid w:val="3E961D4D"/>
    <w:rsid w:val="3EE9536C"/>
    <w:rsid w:val="4352070D"/>
    <w:rsid w:val="53423D16"/>
    <w:rsid w:val="67D3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3">
    <w:name w:val="heading 1"/>
    <w:basedOn w:val="1"/>
    <w:next w:val="1"/>
    <w:qFormat/>
    <w:uiPriority w:val="0"/>
    <w:pPr>
      <w:keepNext/>
      <w:jc w:val="center"/>
      <w:outlineLvl w:val="0"/>
    </w:pPr>
    <w:rPr>
      <w:rFonts w:ascii="Calibri" w:hAnsi="Calibri"/>
      <w:b/>
      <w:bCs/>
      <w:color w:val="FF0000"/>
      <w:szCs w:val="21"/>
    </w:rPr>
  </w:style>
  <w:style w:type="paragraph" w:styleId="4">
    <w:name w:val="heading 2"/>
    <w:basedOn w:val="1"/>
    <w:next w:val="1"/>
    <w:qFormat/>
    <w:uiPriority w:val="0"/>
    <w:pPr>
      <w:keepNext/>
      <w:numPr>
        <w:ilvl w:val="0"/>
        <w:numId w:val="1"/>
      </w:numPr>
      <w:tabs>
        <w:tab w:val="left" w:pos="780"/>
      </w:tabs>
      <w:spacing w:line="400" w:lineRule="exact"/>
      <w:outlineLvl w:val="1"/>
    </w:pPr>
    <w:rPr>
      <w:rFonts w:ascii="Arial" w:hAnsi="Arial"/>
      <w:sz w:val="24"/>
      <w:szCs w:val="1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6">
    <w:name w:val="Plain Text"/>
    <w:basedOn w:val="1"/>
    <w:qFormat/>
    <w:uiPriority w:val="0"/>
    <w:rPr>
      <w:rFonts w:ascii="宋体" w:hAnsi="Courier New"/>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0"/>
    <w:pPr>
      <w:spacing w:before="240" w:after="60"/>
      <w:jc w:val="center"/>
      <w:outlineLvl w:val="0"/>
    </w:pPr>
    <w:rPr>
      <w:rFonts w:ascii="等线 Light" w:hAnsi="等线 Light" w:eastAsia="宋体"/>
      <w:b/>
      <w:bCs/>
      <w:szCs w:val="32"/>
    </w:rPr>
  </w:style>
  <w:style w:type="table" w:styleId="10">
    <w:name w:val="Table Grid"/>
    <w:basedOn w:val="9"/>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式文本"/>
    <w:basedOn w:val="1"/>
    <w:qFormat/>
    <w:uiPriority w:val="0"/>
    <w:pPr>
      <w:spacing w:line="540" w:lineRule="exact"/>
    </w:pPr>
    <w:rPr>
      <w:rFonts w:ascii="宋体" w:hAnsi="Arial Narrow"/>
      <w:sz w:val="28"/>
      <w:szCs w:val="24"/>
    </w:rPr>
  </w:style>
  <w:style w:type="paragraph" w:styleId="13">
    <w:name w:val="List Paragraph"/>
    <w:basedOn w:val="1"/>
    <w:qFormat/>
    <w:uiPriority w:val="34"/>
    <w:pPr>
      <w:ind w:firstLine="420" w:firstLineChars="200"/>
    </w:pPr>
  </w:style>
  <w:style w:type="character" w:customStyle="1" w:styleId="14">
    <w:name w:val="NormalCharacter"/>
    <w:qFormat/>
    <w:uiPriority w:val="0"/>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2367</Words>
  <Characters>2503</Characters>
  <Lines>40</Lines>
  <Paragraphs>11</Paragraphs>
  <TotalTime>3</TotalTime>
  <ScaleCrop>false</ScaleCrop>
  <LinksUpToDate>false</LinksUpToDate>
  <CharactersWithSpaces>2561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2021-06-02T23:28:00Z</dcterms:created>
  <dc:creator>Think</dc:creator>
  <cp:lastModifiedBy>勿忘心安</cp:lastModifiedBy>
  <dcterms:modified xsi:type="dcterms:W3CDTF">2022-08-25T00:17:15Z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E14562AAD7D24611BCF3DFDF09CAA250</vt:lpwstr>
  </property>
</Properties>
</file>