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cstheme="minorEastAsia"/>
          <w:color w:val="000000"/>
          <w:sz w:val="52"/>
          <w:szCs w:val="52"/>
        </w:rPr>
      </w:pPr>
    </w:p>
    <w:p>
      <w:pPr>
        <w:jc w:val="center"/>
        <w:rPr>
          <w:rFonts w:hint="eastAsia" w:asciiTheme="minorEastAsia" w:hAnsiTheme="minorEastAsia" w:cstheme="minorEastAsia"/>
          <w:color w:val="000000"/>
          <w:sz w:val="28"/>
          <w:szCs w:val="28"/>
        </w:rPr>
      </w:pPr>
      <w:r>
        <w:rPr>
          <w:rFonts w:hint="eastAsia" w:asciiTheme="minorEastAsia" w:hAnsiTheme="minorEastAsia" w:cstheme="minorEastAsia"/>
          <w:b/>
          <w:color w:val="000000"/>
          <w:sz w:val="44"/>
          <w:szCs w:val="44"/>
        </w:rPr>
        <w:t>广西百矿铝业有限公司</w:t>
      </w:r>
    </w:p>
    <w:p>
      <w:pPr>
        <w:rPr>
          <w:rFonts w:hint="eastAsia" w:asciiTheme="minorEastAsia" w:hAnsiTheme="minorEastAsia" w:cstheme="minorEastAsia"/>
          <w:color w:val="000000"/>
          <w:sz w:val="28"/>
          <w:szCs w:val="28"/>
        </w:rPr>
      </w:pPr>
    </w:p>
    <w:p>
      <w:pPr>
        <w:jc w:val="center"/>
        <w:rPr>
          <w:rFonts w:hint="eastAsia" w:asciiTheme="minorEastAsia" w:hAnsiTheme="minorEastAsia" w:eastAsiaTheme="minorEastAsia" w:cstheme="minorEastAsia"/>
          <w:b/>
          <w:bCs/>
          <w:color w:val="000000"/>
          <w:sz w:val="44"/>
          <w:szCs w:val="44"/>
          <w:lang w:eastAsia="zh-CN"/>
        </w:rPr>
      </w:pPr>
      <w:r>
        <w:rPr>
          <w:rFonts w:hint="eastAsia" w:asciiTheme="minorEastAsia" w:hAnsiTheme="minorEastAsia" w:cstheme="minorEastAsia"/>
          <w:b/>
          <w:bCs/>
          <w:color w:val="000000"/>
          <w:sz w:val="44"/>
          <w:szCs w:val="44"/>
          <w:lang w:eastAsia="zh-CN"/>
        </w:rPr>
        <w:t>光纤直流传感器校验仪采购</w:t>
      </w:r>
    </w:p>
    <w:p>
      <w:pPr>
        <w:rPr>
          <w:rFonts w:hint="eastAsia" w:asciiTheme="minorEastAsia" w:hAnsiTheme="minorEastAsia" w:cstheme="minorEastAsia"/>
          <w:color w:val="000000"/>
          <w:sz w:val="44"/>
          <w:szCs w:val="44"/>
        </w:rPr>
      </w:pPr>
    </w:p>
    <w:p>
      <w:pPr>
        <w:rPr>
          <w:rFonts w:hint="eastAsia" w:asciiTheme="minorEastAsia" w:hAnsiTheme="minorEastAsia" w:cstheme="minorEastAsia"/>
          <w:b/>
          <w:bCs/>
          <w:color w:val="000000"/>
          <w:sz w:val="48"/>
          <w:szCs w:val="48"/>
        </w:rPr>
      </w:pPr>
    </w:p>
    <w:p>
      <w:pPr>
        <w:pStyle w:val="11"/>
        <w:snapToGrid w:val="0"/>
        <w:spacing w:after="0" w:line="360" w:lineRule="auto"/>
        <w:rPr>
          <w:rFonts w:asciiTheme="minorEastAsia" w:hAnsiTheme="minorEastAsia" w:eastAsiaTheme="minorEastAsia" w:cstheme="minorEastAsia"/>
          <w:b/>
          <w:bCs/>
          <w:sz w:val="48"/>
          <w:szCs w:val="48"/>
        </w:rPr>
      </w:pPr>
      <w:r>
        <w:rPr>
          <w:rFonts w:hint="eastAsia" w:asciiTheme="minorEastAsia" w:hAnsiTheme="minorEastAsia" w:eastAsiaTheme="minorEastAsia" w:cstheme="minorEastAsia"/>
          <w:b/>
          <w:bCs/>
          <w:color w:val="000000"/>
          <w:sz w:val="48"/>
          <w:szCs w:val="48"/>
        </w:rPr>
        <w:t>技</w:t>
      </w:r>
    </w:p>
    <w:p>
      <w:pPr>
        <w:pStyle w:val="11"/>
        <w:snapToGrid w:val="0"/>
        <w:spacing w:after="0" w:line="360" w:lineRule="auto"/>
        <w:rPr>
          <w:rFonts w:hint="eastAsia" w:asciiTheme="minorEastAsia" w:hAnsiTheme="minorEastAsia" w:eastAsiaTheme="minorEastAsia" w:cstheme="minorEastAsia"/>
          <w:b/>
          <w:bCs/>
          <w:color w:val="000000"/>
          <w:sz w:val="48"/>
          <w:szCs w:val="48"/>
        </w:rPr>
      </w:pPr>
    </w:p>
    <w:p>
      <w:pPr>
        <w:pStyle w:val="11"/>
        <w:snapToGrid w:val="0"/>
        <w:spacing w:after="0" w:line="360" w:lineRule="auto"/>
        <w:rPr>
          <w:rFonts w:asciiTheme="minorEastAsia" w:hAnsiTheme="minorEastAsia" w:eastAsiaTheme="minorEastAsia" w:cstheme="minorEastAsia"/>
          <w:b/>
          <w:bCs/>
          <w:sz w:val="48"/>
          <w:szCs w:val="48"/>
        </w:rPr>
      </w:pPr>
      <w:r>
        <w:rPr>
          <w:rFonts w:hint="eastAsia" w:asciiTheme="minorEastAsia" w:hAnsiTheme="minorEastAsia" w:eastAsiaTheme="minorEastAsia" w:cstheme="minorEastAsia"/>
          <w:b/>
          <w:bCs/>
          <w:color w:val="000000"/>
          <w:sz w:val="48"/>
          <w:szCs w:val="48"/>
        </w:rPr>
        <w:t>术</w:t>
      </w:r>
    </w:p>
    <w:p>
      <w:pPr>
        <w:ind w:firstLine="4337" w:firstLineChars="900"/>
        <w:rPr>
          <w:rFonts w:hint="eastAsia" w:asciiTheme="minorEastAsia" w:hAnsiTheme="minorEastAsia" w:cstheme="minorEastAsia"/>
          <w:b/>
          <w:bCs/>
          <w:sz w:val="48"/>
          <w:szCs w:val="48"/>
          <w:lang w:val="en-US" w:eastAsia="zh-CN"/>
        </w:rPr>
      </w:pPr>
    </w:p>
    <w:p>
      <w:pPr>
        <w:ind w:firstLine="4337" w:firstLineChars="900"/>
        <w:rPr>
          <w:rFonts w:hint="eastAsia" w:asciiTheme="minorEastAsia" w:hAnsiTheme="minorEastAsia" w:cstheme="minorEastAsia"/>
          <w:b/>
          <w:bCs/>
          <w:sz w:val="48"/>
          <w:szCs w:val="48"/>
          <w:lang w:val="en-US" w:eastAsia="zh-CN"/>
        </w:rPr>
      </w:pPr>
      <w:r>
        <w:rPr>
          <w:rFonts w:hint="eastAsia" w:asciiTheme="minorEastAsia" w:hAnsiTheme="minorEastAsia" w:cstheme="minorEastAsia"/>
          <w:b/>
          <w:bCs/>
          <w:sz w:val="48"/>
          <w:szCs w:val="48"/>
          <w:lang w:val="en-US" w:eastAsia="zh-CN"/>
        </w:rPr>
        <w:t>协</w:t>
      </w:r>
    </w:p>
    <w:p>
      <w:pPr>
        <w:rPr>
          <w:rFonts w:hint="eastAsia" w:asciiTheme="minorEastAsia" w:hAnsiTheme="minorEastAsia" w:cstheme="minorEastAsia"/>
          <w:b/>
          <w:bCs/>
          <w:sz w:val="48"/>
          <w:szCs w:val="48"/>
          <w:lang w:val="en-US" w:eastAsia="zh-CN"/>
        </w:rPr>
      </w:pPr>
    </w:p>
    <w:p>
      <w:pPr>
        <w:ind w:firstLine="4337" w:firstLineChars="900"/>
        <w:rPr>
          <w:rFonts w:hint="eastAsia" w:asciiTheme="minorEastAsia" w:hAnsiTheme="minorEastAsia" w:cstheme="minorEastAsia"/>
          <w:b/>
          <w:bCs/>
          <w:sz w:val="48"/>
          <w:szCs w:val="48"/>
          <w:lang w:val="en-US" w:eastAsia="zh-CN"/>
        </w:rPr>
      </w:pPr>
    </w:p>
    <w:p>
      <w:pPr>
        <w:ind w:firstLine="4337" w:firstLineChars="900"/>
        <w:rPr>
          <w:rFonts w:hint="eastAsia" w:asciiTheme="minorEastAsia" w:hAnsiTheme="minorEastAsia" w:cstheme="minorEastAsia"/>
          <w:sz w:val="28"/>
          <w:szCs w:val="28"/>
        </w:rPr>
      </w:pPr>
      <w:bookmarkStart w:id="25" w:name="_GoBack"/>
      <w:bookmarkEnd w:id="25"/>
      <w:r>
        <w:rPr>
          <w:rFonts w:hint="eastAsia" w:asciiTheme="minorEastAsia" w:hAnsiTheme="minorEastAsia" w:cstheme="minorEastAsia"/>
          <w:b/>
          <w:bCs/>
          <w:sz w:val="48"/>
          <w:szCs w:val="48"/>
          <w:lang w:val="en-US" w:eastAsia="zh-CN"/>
        </w:rPr>
        <w:t>议</w:t>
      </w:r>
    </w:p>
    <w:p>
      <w:pPr>
        <w:rPr>
          <w:rFonts w:hint="eastAsia" w:asciiTheme="minorEastAsia" w:hAnsiTheme="minorEastAsia" w:cstheme="minorEastAsia"/>
          <w:sz w:val="28"/>
          <w:szCs w:val="28"/>
        </w:rPr>
      </w:pPr>
    </w:p>
    <w:p>
      <w:pPr>
        <w:rPr>
          <w:rFonts w:hint="eastAsia" w:asciiTheme="minorEastAsia" w:hAnsiTheme="minorEastAsia" w:cstheme="minorEastAsia"/>
          <w:sz w:val="28"/>
          <w:szCs w:val="28"/>
        </w:rPr>
      </w:pPr>
    </w:p>
    <w:p>
      <w:pPr>
        <w:rPr>
          <w:rFonts w:hint="eastAsia" w:asciiTheme="minorEastAsia" w:hAnsiTheme="minorEastAsia" w:cstheme="minorEastAsia"/>
          <w:sz w:val="28"/>
          <w:szCs w:val="28"/>
        </w:rPr>
      </w:pPr>
    </w:p>
    <w:p>
      <w:pPr>
        <w:rPr>
          <w:rFonts w:hint="eastAsia" w:asciiTheme="minorEastAsia" w:hAnsiTheme="minorEastAsia" w:cstheme="minorEastAsia"/>
          <w:sz w:val="28"/>
          <w:szCs w:val="28"/>
        </w:rPr>
      </w:pPr>
    </w:p>
    <w:p>
      <w:pPr>
        <w:rPr>
          <w:rFonts w:hint="eastAsia" w:asciiTheme="minorEastAsia" w:hAnsiTheme="minorEastAsia" w:cstheme="minorEastAsia"/>
          <w:sz w:val="28"/>
          <w:szCs w:val="28"/>
        </w:rPr>
      </w:pPr>
    </w:p>
    <w:p>
      <w:pPr>
        <w:spacing w:line="600" w:lineRule="exact"/>
        <w:ind w:firstLine="482"/>
        <w:jc w:val="center"/>
        <w:rPr>
          <w:rFonts w:ascii="宋体" w:hAnsi="宋体"/>
          <w:b/>
          <w:sz w:val="28"/>
          <w:szCs w:val="28"/>
        </w:rPr>
      </w:pPr>
    </w:p>
    <w:p>
      <w:pPr>
        <w:tabs>
          <w:tab w:val="left" w:pos="3660"/>
        </w:tabs>
        <w:spacing w:line="420" w:lineRule="exact"/>
        <w:ind w:firstLine="480"/>
        <w:jc w:val="center"/>
        <w:rPr>
          <w:rFonts w:asciiTheme="minorEastAsia" w:hAnsiTheme="minorEastAsia" w:cstheme="minorEastAsia"/>
          <w:bCs/>
          <w:sz w:val="28"/>
          <w:szCs w:val="28"/>
        </w:rPr>
      </w:pPr>
      <w:r>
        <w:rPr>
          <w:rFonts w:hint="eastAsia" w:asciiTheme="minorEastAsia" w:hAnsiTheme="minorEastAsia" w:cstheme="minorEastAsia"/>
          <w:bCs/>
          <w:sz w:val="28"/>
          <w:szCs w:val="28"/>
        </w:rPr>
        <w:t>广西.百色</w:t>
      </w:r>
    </w:p>
    <w:p>
      <w:pPr>
        <w:jc w:val="center"/>
        <w:rPr>
          <w:rFonts w:hint="eastAsia" w:asciiTheme="minorEastAsia" w:hAnsiTheme="minorEastAsia" w:cstheme="minorEastAsia"/>
          <w:bCs/>
          <w:sz w:val="28"/>
          <w:szCs w:val="28"/>
        </w:rPr>
      </w:pPr>
      <w:r>
        <w:rPr>
          <w:rFonts w:hint="eastAsia" w:asciiTheme="minorEastAsia" w:hAnsiTheme="minorEastAsia" w:cstheme="minorEastAsia"/>
          <w:bCs/>
          <w:sz w:val="28"/>
          <w:szCs w:val="28"/>
        </w:rPr>
        <w:t xml:space="preserve">   2022年 0</w:t>
      </w:r>
      <w:r>
        <w:rPr>
          <w:rFonts w:hint="eastAsia" w:asciiTheme="minorEastAsia" w:hAnsiTheme="minorEastAsia" w:cstheme="minorEastAsia"/>
          <w:bCs/>
          <w:sz w:val="28"/>
          <w:szCs w:val="28"/>
          <w:lang w:val="en-US" w:eastAsia="zh-CN"/>
        </w:rPr>
        <w:t>6</w:t>
      </w:r>
      <w:r>
        <w:rPr>
          <w:rFonts w:hint="eastAsia" w:asciiTheme="minorEastAsia" w:hAnsiTheme="minorEastAsia" w:cstheme="minorEastAsia"/>
          <w:bCs/>
          <w:sz w:val="28"/>
          <w:szCs w:val="28"/>
        </w:rPr>
        <w:t>月</w:t>
      </w:r>
    </w:p>
    <w:p>
      <w:pPr>
        <w:widowControl/>
        <w:jc w:val="left"/>
        <w:rPr>
          <w:rFonts w:asciiTheme="minorEastAsia" w:hAnsiTheme="minorEastAsia" w:cstheme="minorEastAsia"/>
          <w:bCs/>
          <w:sz w:val="28"/>
          <w:szCs w:val="28"/>
        </w:rPr>
      </w:pPr>
      <w:r>
        <w:rPr>
          <w:rFonts w:asciiTheme="minorEastAsia" w:hAnsiTheme="minorEastAsia" w:cstheme="minorEastAsia"/>
          <w:bCs/>
          <w:sz w:val="28"/>
          <w:szCs w:val="28"/>
        </w:rPr>
        <w:br w:type="page"/>
      </w:r>
    </w:p>
    <w:p>
      <w:pPr>
        <w:rPr>
          <w:rFonts w:hint="eastAsia" w:asciiTheme="minorEastAsia" w:hAnsiTheme="minorEastAsia" w:cstheme="minorEastAsia"/>
          <w:bCs/>
          <w:sz w:val="28"/>
          <w:szCs w:val="28"/>
        </w:rPr>
      </w:pPr>
      <w:r>
        <w:rPr>
          <w:rFonts w:hint="eastAsia" w:asciiTheme="minorEastAsia" w:hAnsiTheme="minorEastAsia" w:cstheme="minorEastAsia"/>
          <w:bCs/>
          <w:sz w:val="28"/>
          <w:szCs w:val="28"/>
        </w:rPr>
        <w:t>一、总则</w:t>
      </w:r>
    </w:p>
    <w:p>
      <w:pPr>
        <w:pStyle w:val="14"/>
        <w:spacing w:line="473" w:lineRule="exact"/>
        <w:ind w:firstLine="420" w:firstLineChars="0"/>
        <w:jc w:val="both"/>
        <w:rPr>
          <w:rFonts w:asciiTheme="minorEastAsia" w:hAnsiTheme="minorEastAsia" w:eastAsiaTheme="minorEastAsia"/>
          <w:sz w:val="28"/>
          <w:szCs w:val="28"/>
        </w:rPr>
      </w:pPr>
      <w:r>
        <w:rPr>
          <w:rFonts w:hint="eastAsia" w:asciiTheme="minorEastAsia" w:hAnsiTheme="minorEastAsia" w:eastAsiaTheme="minorEastAsia"/>
          <w:color w:val="000000"/>
          <w:sz w:val="28"/>
          <w:szCs w:val="28"/>
          <w:lang w:val="en-US" w:eastAsia="zh-CN" w:bidi="en-US"/>
        </w:rPr>
        <w:t>1.</w:t>
      </w:r>
      <w:r>
        <w:rPr>
          <w:rFonts w:hint="eastAsia" w:asciiTheme="minorEastAsia" w:hAnsiTheme="minorEastAsia" w:eastAsiaTheme="minorEastAsia"/>
          <w:color w:val="000000"/>
          <w:sz w:val="28"/>
          <w:szCs w:val="28"/>
        </w:rPr>
        <w:t>1本技术协议仅适用于</w:t>
      </w:r>
      <w:r>
        <w:rPr>
          <w:rFonts w:hint="eastAsia" w:asciiTheme="minorEastAsia" w:hAnsiTheme="minorEastAsia" w:eastAsiaTheme="minorEastAsia"/>
          <w:color w:val="000000"/>
          <w:sz w:val="28"/>
          <w:szCs w:val="28"/>
          <w:lang w:eastAsia="zh-CN"/>
        </w:rPr>
        <w:t>广西百矿铝业有限公司</w:t>
      </w:r>
      <w:r>
        <w:rPr>
          <w:rFonts w:hint="eastAsia" w:cs="宋体" w:asciiTheme="minorEastAsia" w:hAnsiTheme="minorEastAsia" w:eastAsiaTheme="minorEastAsia"/>
          <w:color w:val="000000"/>
          <w:sz w:val="28"/>
          <w:szCs w:val="28"/>
          <w:lang w:eastAsia="zh-CN"/>
        </w:rPr>
        <w:t>光纤传感器校验仪</w:t>
      </w:r>
      <w:r>
        <w:rPr>
          <w:rFonts w:hint="eastAsia" w:asciiTheme="minorEastAsia" w:hAnsiTheme="minorEastAsia" w:eastAsiaTheme="minorEastAsia"/>
          <w:color w:val="000000"/>
          <w:sz w:val="28"/>
          <w:szCs w:val="28"/>
          <w:lang w:val="en-US" w:eastAsia="zh-CN"/>
        </w:rPr>
        <w:t>的采购</w:t>
      </w:r>
      <w:r>
        <w:rPr>
          <w:rFonts w:hint="eastAsia" w:asciiTheme="minorEastAsia" w:hAnsiTheme="minorEastAsia" w:eastAsiaTheme="minorEastAsia"/>
          <w:color w:val="000000"/>
          <w:sz w:val="28"/>
          <w:szCs w:val="28"/>
        </w:rPr>
        <w:t>，它提出了该设备的功能设计、制造、 检验、包装、运输、卸车、指导安装和调试、验收、培训直至最终交付使用等方面的技术要求。</w:t>
      </w:r>
    </w:p>
    <w:p>
      <w:pPr>
        <w:pStyle w:val="14"/>
        <w:spacing w:line="473" w:lineRule="exact"/>
        <w:ind w:firstLine="420" w:firstLineChars="0"/>
        <w:rPr>
          <w:rFonts w:asciiTheme="minorEastAsia" w:hAnsiTheme="minorEastAsia" w:eastAsiaTheme="minorEastAsia"/>
          <w:sz w:val="28"/>
          <w:szCs w:val="28"/>
        </w:rPr>
      </w:pPr>
      <w:r>
        <w:rPr>
          <w:rFonts w:hint="eastAsia" w:asciiTheme="minorEastAsia" w:hAnsiTheme="minorEastAsia" w:eastAsiaTheme="minorEastAsia"/>
          <w:color w:val="000000"/>
          <w:sz w:val="28"/>
          <w:szCs w:val="28"/>
          <w:lang w:val="en-US" w:eastAsia="zh-CN" w:bidi="en-US"/>
        </w:rPr>
        <w:t>1.2</w:t>
      </w:r>
      <w:r>
        <w:rPr>
          <w:rFonts w:hint="eastAsia" w:asciiTheme="minorEastAsia" w:hAnsiTheme="minorEastAsia" w:eastAsiaTheme="minorEastAsia"/>
          <w:color w:val="000000"/>
          <w:sz w:val="28"/>
          <w:szCs w:val="28"/>
        </w:rPr>
        <w:t>卖方保证提供符合有关中国国家标准</w:t>
      </w:r>
      <w:r>
        <w:rPr>
          <w:rFonts w:hint="eastAsia" w:asciiTheme="minorEastAsia" w:hAnsiTheme="minorEastAsia" w:eastAsiaTheme="minorEastAsia"/>
          <w:color w:val="000000"/>
          <w:sz w:val="28"/>
          <w:szCs w:val="28"/>
          <w:lang w:val="en-US" w:eastAsia="zh-CN" w:bidi="en-US"/>
        </w:rPr>
        <w:t>（GB</w:t>
      </w:r>
      <w:r>
        <w:rPr>
          <w:rFonts w:hint="eastAsia" w:asciiTheme="minorEastAsia" w:hAnsiTheme="minorEastAsia" w:eastAsiaTheme="minorEastAsia"/>
          <w:color w:val="000000"/>
          <w:sz w:val="28"/>
          <w:szCs w:val="28"/>
        </w:rPr>
        <w:t>系列）和有关行业最新标准要求的优质设计及产品</w:t>
      </w:r>
      <w:r>
        <w:rPr>
          <w:rFonts w:hint="eastAsia" w:asciiTheme="minorEastAsia" w:hAnsiTheme="minorEastAsia" w:eastAsiaTheme="minorEastAsia"/>
          <w:color w:val="000000"/>
          <w:sz w:val="28"/>
          <w:szCs w:val="28"/>
          <w:lang w:eastAsia="zh-CN"/>
        </w:rPr>
        <w:t>；</w:t>
      </w:r>
      <w:r>
        <w:rPr>
          <w:rFonts w:hint="eastAsia" w:asciiTheme="minorEastAsia" w:hAnsiTheme="minorEastAsia" w:eastAsiaTheme="minorEastAsia"/>
          <w:color w:val="000000"/>
          <w:sz w:val="28"/>
          <w:szCs w:val="28"/>
        </w:rPr>
        <w:t>同时满足中国国家有关安全、环保等强制性法规、标准的要求。卖方须详细列出包括设计、制造、检验、供货、安装、调试、验收等所采用的标准、规程和规范名称供买方审查确认。但不能免除卖方在保证单个设备和整个系统正常运行、性能符合本技术协议要求方面应承担的责任。</w:t>
      </w:r>
    </w:p>
    <w:p>
      <w:pPr>
        <w:pStyle w:val="14"/>
        <w:spacing w:line="468" w:lineRule="exact"/>
        <w:ind w:firstLine="420" w:firstLineChars="0"/>
        <w:jc w:val="both"/>
        <w:rPr>
          <w:rFonts w:asciiTheme="minorEastAsia" w:hAnsiTheme="minorEastAsia" w:eastAsiaTheme="minorEastAsia"/>
          <w:sz w:val="28"/>
          <w:szCs w:val="28"/>
        </w:rPr>
      </w:pPr>
      <w:r>
        <w:rPr>
          <w:rFonts w:hint="eastAsia" w:asciiTheme="minorEastAsia" w:hAnsiTheme="minorEastAsia" w:eastAsiaTheme="minorEastAsia"/>
          <w:color w:val="000000"/>
          <w:sz w:val="28"/>
          <w:szCs w:val="28"/>
          <w:lang w:val="en-US" w:eastAsia="zh-CN" w:bidi="en-US"/>
        </w:rPr>
        <w:t>1.3</w:t>
      </w:r>
      <w:r>
        <w:rPr>
          <w:rFonts w:hint="eastAsia" w:asciiTheme="minorEastAsia" w:hAnsiTheme="minorEastAsia" w:eastAsiaTheme="minorEastAsia"/>
          <w:color w:val="000000"/>
          <w:sz w:val="28"/>
          <w:szCs w:val="28"/>
        </w:rPr>
        <w:t>卖方应按照买方的要求提供所需要的设计、制造及设备（含配套设备）资料等, 并按照工程进度要求随时修正。在签订合同之后到卖方开始制造之日的这段时间内，买方有权提出因标准、规程和规范发生变化而产生的些补充和修改要求，导致合同设备配置上有局部微小调整，卖方必须负责局部的调整，并保证设备总价不变。</w:t>
      </w:r>
    </w:p>
    <w:p>
      <w:pPr>
        <w:pStyle w:val="14"/>
        <w:spacing w:line="490" w:lineRule="exact"/>
        <w:ind w:firstLine="420" w:firstLineChars="0"/>
        <w:jc w:val="both"/>
        <w:rPr>
          <w:rFonts w:asciiTheme="minorEastAsia" w:hAnsiTheme="minorEastAsia" w:eastAsiaTheme="minorEastAsia"/>
          <w:sz w:val="28"/>
          <w:szCs w:val="28"/>
        </w:rPr>
      </w:pPr>
      <w:r>
        <w:rPr>
          <w:rFonts w:hint="eastAsia" w:asciiTheme="minorEastAsia" w:hAnsiTheme="minorEastAsia" w:eastAsiaTheme="minorEastAsia"/>
          <w:color w:val="000000"/>
          <w:sz w:val="28"/>
          <w:szCs w:val="28"/>
          <w:lang w:val="en-US" w:eastAsia="zh-CN" w:bidi="en-US"/>
        </w:rPr>
        <w:t>1.</w:t>
      </w:r>
      <w:r>
        <w:rPr>
          <w:rFonts w:hint="eastAsia" w:asciiTheme="minorEastAsia" w:hAnsiTheme="minorEastAsia" w:eastAsiaTheme="minorEastAsia"/>
          <w:color w:val="000000"/>
          <w:sz w:val="28"/>
          <w:szCs w:val="28"/>
        </w:rPr>
        <w:t>4设备釆用的专利涉及到的全部费用均被认为已包含在设备报价中，卖方应保证买方不承担有关设备专利的一切责任。</w:t>
      </w:r>
    </w:p>
    <w:p>
      <w:pPr>
        <w:pStyle w:val="14"/>
        <w:spacing w:line="479" w:lineRule="exact"/>
        <w:ind w:firstLine="420" w:firstLineChars="0"/>
        <w:jc w:val="both"/>
        <w:rPr>
          <w:rFonts w:asciiTheme="minorEastAsia" w:hAnsiTheme="minorEastAsia" w:eastAsiaTheme="minorEastAsia"/>
          <w:sz w:val="28"/>
          <w:szCs w:val="28"/>
        </w:rPr>
      </w:pPr>
      <w:r>
        <w:rPr>
          <w:rFonts w:hint="eastAsia" w:asciiTheme="minorEastAsia" w:hAnsiTheme="minorEastAsia" w:eastAsiaTheme="minorEastAsia"/>
          <w:color w:val="000000"/>
          <w:sz w:val="28"/>
          <w:szCs w:val="28"/>
          <w:lang w:val="en-US" w:eastAsia="zh-CN" w:bidi="en-US"/>
        </w:rPr>
        <w:t>1.5</w:t>
      </w:r>
      <w:r>
        <w:rPr>
          <w:rFonts w:hint="eastAsia" w:asciiTheme="minorEastAsia" w:hAnsiTheme="minorEastAsia" w:eastAsiaTheme="minorEastAsia"/>
          <w:color w:val="000000"/>
          <w:sz w:val="28"/>
          <w:szCs w:val="28"/>
        </w:rPr>
        <w:t>本技术协议提出的是最低限度的技术要求，并未对一切技术细节作出规定，也未充分引述有关标准和规范的条文，卖方应提供符合本技术协议和国家标准的优质产 品；</w:t>
      </w:r>
    </w:p>
    <w:p>
      <w:pPr>
        <w:pStyle w:val="14"/>
        <w:spacing w:line="482" w:lineRule="exact"/>
        <w:ind w:firstLine="420" w:firstLineChars="0"/>
        <w:jc w:val="both"/>
        <w:rPr>
          <w:rFonts w:asciiTheme="minorEastAsia" w:hAnsiTheme="minorEastAsia" w:eastAsiaTheme="minorEastAsia"/>
          <w:sz w:val="28"/>
          <w:szCs w:val="28"/>
        </w:rPr>
      </w:pPr>
      <w:r>
        <w:rPr>
          <w:rFonts w:hint="eastAsia" w:asciiTheme="minorEastAsia" w:hAnsiTheme="minorEastAsia" w:eastAsiaTheme="minorEastAsia"/>
          <w:color w:val="000000"/>
          <w:sz w:val="28"/>
          <w:szCs w:val="28"/>
          <w:lang w:val="en-US" w:eastAsia="zh-CN" w:bidi="en-US"/>
        </w:rPr>
        <w:t>1.6</w:t>
      </w:r>
      <w:r>
        <w:rPr>
          <w:rFonts w:hint="eastAsia" w:asciiTheme="minorEastAsia" w:hAnsiTheme="minorEastAsia" w:eastAsiaTheme="minorEastAsia"/>
          <w:color w:val="000000"/>
          <w:sz w:val="28"/>
          <w:szCs w:val="28"/>
        </w:rPr>
        <w:t>本技术协议所使用的标准如与卖方和配套方所执行的标准水平不一致时，按较高标准执行。所列标准如有新颁替代标准时，应按新颁替代标准执行。</w:t>
      </w:r>
    </w:p>
    <w:p>
      <w:pPr>
        <w:pStyle w:val="14"/>
        <w:spacing w:line="475" w:lineRule="exact"/>
        <w:ind w:firstLine="420" w:firstLineChars="0"/>
        <w:jc w:val="both"/>
        <w:rPr>
          <w:rFonts w:asciiTheme="minorEastAsia" w:hAnsiTheme="minorEastAsia" w:eastAsiaTheme="minorEastAsia"/>
          <w:sz w:val="28"/>
          <w:szCs w:val="28"/>
        </w:rPr>
      </w:pPr>
      <w:r>
        <w:rPr>
          <w:rFonts w:hint="eastAsia" w:asciiTheme="minorEastAsia" w:hAnsiTheme="minorEastAsia" w:eastAsiaTheme="minorEastAsia"/>
          <w:color w:val="000000"/>
          <w:sz w:val="28"/>
          <w:szCs w:val="28"/>
        </w:rPr>
        <w:t>1</w:t>
      </w:r>
      <w:r>
        <w:rPr>
          <w:rFonts w:hint="eastAsia" w:asciiTheme="minorEastAsia" w:hAnsiTheme="minorEastAsia" w:eastAsiaTheme="minorEastAsia"/>
          <w:color w:val="000000"/>
          <w:sz w:val="28"/>
          <w:szCs w:val="28"/>
          <w:lang w:eastAsia="zh-CN"/>
        </w:rPr>
        <w:t>.</w:t>
      </w:r>
      <w:r>
        <w:rPr>
          <w:rFonts w:hint="eastAsia" w:asciiTheme="minorEastAsia" w:hAnsiTheme="minorEastAsia" w:eastAsiaTheme="minorEastAsia"/>
          <w:color w:val="000000"/>
          <w:sz w:val="28"/>
          <w:szCs w:val="28"/>
        </w:rPr>
        <w:t>7</w:t>
      </w:r>
      <w:r>
        <w:rPr>
          <w:rFonts w:hint="eastAsia" w:asciiTheme="minorEastAsia" w:hAnsiTheme="minorEastAsia" w:eastAsiaTheme="minorEastAsia"/>
          <w:color w:val="000000"/>
          <w:sz w:val="28"/>
          <w:szCs w:val="28"/>
          <w:lang w:eastAsia="zh-CN"/>
        </w:rPr>
        <w:t>卖方提供的必须</w:t>
      </w:r>
      <w:r>
        <w:rPr>
          <w:rFonts w:hint="eastAsia" w:asciiTheme="minorEastAsia" w:hAnsiTheme="minorEastAsia" w:eastAsiaTheme="minorEastAsia"/>
          <w:color w:val="000000"/>
          <w:sz w:val="28"/>
          <w:szCs w:val="28"/>
        </w:rPr>
        <w:t>是</w:t>
      </w:r>
      <w:r>
        <w:rPr>
          <w:rFonts w:hint="eastAsia" w:asciiTheme="minorEastAsia" w:hAnsiTheme="minorEastAsia" w:eastAsiaTheme="minorEastAsia"/>
          <w:color w:val="000000"/>
          <w:sz w:val="28"/>
          <w:szCs w:val="28"/>
          <w:lang w:eastAsia="zh-CN"/>
        </w:rPr>
        <w:t>完全符合本技术协议</w:t>
      </w:r>
      <w:r>
        <w:rPr>
          <w:rFonts w:hint="eastAsia" w:asciiTheme="minorEastAsia" w:hAnsiTheme="minorEastAsia" w:eastAsiaTheme="minorEastAsia"/>
          <w:color w:val="000000"/>
          <w:sz w:val="28"/>
          <w:szCs w:val="28"/>
        </w:rPr>
        <w:t>的</w:t>
      </w:r>
      <w:r>
        <w:rPr>
          <w:rFonts w:hint="eastAsia" w:asciiTheme="minorEastAsia" w:hAnsiTheme="minorEastAsia" w:eastAsiaTheme="minorEastAsia"/>
          <w:color w:val="000000"/>
          <w:sz w:val="28"/>
          <w:szCs w:val="28"/>
          <w:lang w:eastAsia="zh-CN"/>
        </w:rPr>
        <w:t>全</w:t>
      </w:r>
      <w:r>
        <w:rPr>
          <w:rFonts w:hint="eastAsia" w:asciiTheme="minorEastAsia" w:hAnsiTheme="minorEastAsia" w:eastAsiaTheme="minorEastAsia"/>
          <w:color w:val="000000"/>
          <w:sz w:val="28"/>
          <w:szCs w:val="28"/>
        </w:rPr>
        <w:t>新的</w:t>
      </w:r>
      <w:r>
        <w:rPr>
          <w:rFonts w:hint="eastAsia" w:asciiTheme="minorEastAsia" w:hAnsiTheme="minorEastAsia" w:eastAsiaTheme="minorEastAsia"/>
          <w:color w:val="000000"/>
          <w:sz w:val="28"/>
          <w:szCs w:val="28"/>
          <w:lang w:eastAsia="zh-CN"/>
        </w:rPr>
        <w:t>最佳</w:t>
      </w:r>
      <w:r>
        <w:rPr>
          <w:rFonts w:hint="eastAsia" w:asciiTheme="minorEastAsia" w:hAnsiTheme="minorEastAsia" w:eastAsiaTheme="minorEastAsia"/>
          <w:color w:val="000000"/>
          <w:sz w:val="28"/>
          <w:szCs w:val="28"/>
        </w:rPr>
        <w:t>产品，</w:t>
      </w:r>
      <w:r>
        <w:rPr>
          <w:rFonts w:hint="eastAsia" w:asciiTheme="minorEastAsia" w:hAnsiTheme="minorEastAsia" w:eastAsiaTheme="minorEastAsia"/>
          <w:color w:val="000000"/>
          <w:sz w:val="28"/>
          <w:szCs w:val="28"/>
          <w:lang w:eastAsia="zh-CN"/>
        </w:rPr>
        <w:t>可长期安且稳定使用，</w:t>
      </w:r>
      <w:r>
        <w:rPr>
          <w:rFonts w:hint="eastAsia" w:asciiTheme="minorEastAsia" w:hAnsiTheme="minorEastAsia" w:eastAsiaTheme="minorEastAsia"/>
          <w:color w:val="000000"/>
          <w:sz w:val="28"/>
          <w:szCs w:val="28"/>
        </w:rPr>
        <w:t>卖方需对所提供产品的质量完全负责；并保证供货的完整性，满足安全、稳定运行要求。在现场安装、调试、试生产或生产过程中，如因设计缺陷、产品质量等 卖方原因造成发生质量或安全事故，卖方全部承担由此造成的损失和后果，买方不承担任何责任。</w:t>
      </w:r>
    </w:p>
    <w:p>
      <w:pPr>
        <w:pStyle w:val="14"/>
        <w:spacing w:line="482" w:lineRule="exact"/>
        <w:ind w:firstLine="420" w:firstLineChars="0"/>
        <w:jc w:val="both"/>
        <w:rPr>
          <w:rFonts w:asciiTheme="minorEastAsia" w:hAnsiTheme="minorEastAsia" w:eastAsiaTheme="minorEastAsia"/>
          <w:color w:val="000000"/>
          <w:sz w:val="28"/>
          <w:szCs w:val="28"/>
          <w:lang w:val="en-US" w:eastAsia="zh-CN" w:bidi="en-US"/>
        </w:rPr>
      </w:pPr>
      <w:r>
        <w:rPr>
          <w:rFonts w:hint="eastAsia" w:asciiTheme="minorEastAsia" w:hAnsiTheme="minorEastAsia" w:eastAsiaTheme="minorEastAsia"/>
          <w:color w:val="000000"/>
          <w:sz w:val="28"/>
          <w:szCs w:val="28"/>
          <w:lang w:val="en-US" w:eastAsia="zh-CN" w:bidi="en-US"/>
        </w:rPr>
        <w:t>1.8卖方有责任对本技术协议中的技术条款提出补充。若在安装运行中发现缺项或 不能满足规定的技术条款工作需要时，由卖方负责补齐且不得增加费用。</w:t>
      </w:r>
    </w:p>
    <w:p>
      <w:pPr>
        <w:pStyle w:val="14"/>
        <w:spacing w:line="482" w:lineRule="exact"/>
        <w:ind w:firstLine="420" w:firstLineChars="0"/>
        <w:jc w:val="both"/>
        <w:rPr>
          <w:rFonts w:asciiTheme="minorEastAsia" w:hAnsiTheme="minorEastAsia" w:eastAsiaTheme="minorEastAsia"/>
          <w:color w:val="000000"/>
          <w:sz w:val="28"/>
          <w:szCs w:val="28"/>
          <w:lang w:val="en-US" w:eastAsia="zh-CN" w:bidi="en-US"/>
        </w:rPr>
      </w:pPr>
      <w:r>
        <w:rPr>
          <w:rFonts w:hint="eastAsia" w:asciiTheme="minorEastAsia" w:hAnsiTheme="minorEastAsia" w:eastAsiaTheme="minorEastAsia"/>
          <w:color w:val="000000"/>
          <w:sz w:val="28"/>
          <w:szCs w:val="28"/>
          <w:lang w:val="en-US" w:eastAsia="zh-CN" w:bidi="en-US"/>
        </w:rPr>
        <w:t>1.9卖方应对所提供的成套系统设备（含辅助系统与设备）负有全责，所提供的产品应完全符合本技术协议的要求，并有生产许可证及产品检验合格证，严禁采用国家公布的淘汰产品，若提供的产品不符合本技术协议的要求或为假冒伪劣产品，除了按要求更换合格的产品外，还应按两倍产品原价的价格进行赔偿，买方保留因伪劣产品造成重大损失而追究法律责任的权利。</w:t>
      </w:r>
    </w:p>
    <w:p>
      <w:pPr>
        <w:pStyle w:val="14"/>
        <w:spacing w:line="482" w:lineRule="exact"/>
        <w:ind w:firstLine="420" w:firstLineChars="0"/>
        <w:jc w:val="both"/>
        <w:rPr>
          <w:rFonts w:asciiTheme="minorEastAsia" w:hAnsiTheme="minorEastAsia" w:eastAsiaTheme="minorEastAsia"/>
          <w:color w:val="000000"/>
          <w:sz w:val="28"/>
          <w:szCs w:val="28"/>
          <w:lang w:val="en-US" w:eastAsia="zh-CN" w:bidi="en-US"/>
        </w:rPr>
      </w:pPr>
      <w:r>
        <w:rPr>
          <w:rFonts w:hint="eastAsia" w:asciiTheme="minorEastAsia" w:hAnsiTheme="minorEastAsia" w:eastAsiaTheme="minorEastAsia"/>
          <w:color w:val="000000"/>
          <w:sz w:val="28"/>
          <w:szCs w:val="28"/>
          <w:lang w:val="en-US" w:eastAsia="zh-CN" w:bidi="en-US"/>
        </w:rPr>
        <w:t>1.10本技术协议要求的设备设计及其部件、附件，全部由卖方负责提供，包括分包（或釆购）的产品，分包（或釆购）的产品制造商应事先征得买方的认可，同时须负责安装、调试及培训，直至最终交付正常使用。</w:t>
      </w:r>
    </w:p>
    <w:p>
      <w:pPr>
        <w:pStyle w:val="14"/>
        <w:spacing w:line="482" w:lineRule="exact"/>
        <w:ind w:firstLine="420" w:firstLineChars="0"/>
        <w:jc w:val="both"/>
        <w:rPr>
          <w:rFonts w:asciiTheme="minorEastAsia" w:hAnsiTheme="minorEastAsia" w:eastAsiaTheme="minorEastAsia"/>
          <w:color w:val="000000"/>
          <w:sz w:val="28"/>
          <w:szCs w:val="28"/>
          <w:lang w:val="en-US" w:eastAsia="zh-CN" w:bidi="en-US"/>
        </w:rPr>
      </w:pPr>
      <w:r>
        <w:rPr>
          <w:rFonts w:hint="eastAsia" w:asciiTheme="minorEastAsia" w:hAnsiTheme="minorEastAsia" w:eastAsiaTheme="minorEastAsia"/>
          <w:color w:val="000000"/>
          <w:sz w:val="28"/>
          <w:szCs w:val="28"/>
          <w:lang w:val="en-US" w:eastAsia="zh-CN" w:bidi="en-US"/>
        </w:rPr>
        <w:t>1.11产品制造过程中，卖方制造现场买方监制人员的书面确认，并不对其产品的试验、制造质量、最终的运行安全及功能等承担任何责任。若遇卖方不能接受的条件,卖方应陈述其不能接受的原因及理由，买方具有最终决定权。</w:t>
      </w:r>
    </w:p>
    <w:p>
      <w:pPr>
        <w:pStyle w:val="14"/>
        <w:spacing w:line="482" w:lineRule="exact"/>
        <w:ind w:firstLine="420" w:firstLineChars="0"/>
        <w:jc w:val="both"/>
        <w:rPr>
          <w:rFonts w:hint="eastAsia" w:asciiTheme="minorEastAsia" w:hAnsiTheme="minorEastAsia" w:eastAsiaTheme="minorEastAsia"/>
          <w:color w:val="000000"/>
          <w:sz w:val="28"/>
          <w:szCs w:val="28"/>
          <w:lang w:val="en-US" w:eastAsia="zh-CN" w:bidi="en-US"/>
        </w:rPr>
      </w:pPr>
      <w:r>
        <w:rPr>
          <w:rFonts w:hint="eastAsia" w:asciiTheme="minorEastAsia" w:hAnsiTheme="minorEastAsia" w:eastAsiaTheme="minorEastAsia"/>
          <w:color w:val="000000"/>
          <w:sz w:val="28"/>
          <w:szCs w:val="28"/>
          <w:lang w:val="en-US" w:eastAsia="zh-CN" w:bidi="en-US"/>
        </w:rPr>
        <w:t>1.12本技术协议要求的设备由卖方负责设计、制作、供货、运输、卸车、指导安装、调试、验收、培训直至最终交付使用。</w:t>
      </w:r>
      <w:bookmarkStart w:id="0" w:name="bookmark7"/>
      <w:bookmarkStart w:id="1" w:name="bookmark10"/>
      <w:bookmarkStart w:id="2" w:name="bookmark9"/>
      <w:bookmarkStart w:id="3" w:name="bookmark8"/>
    </w:p>
    <w:p>
      <w:pPr>
        <w:rPr>
          <w:rFonts w:hint="eastAsia" w:ascii="宋体" w:hAnsi="宋体" w:eastAsia="宋体" w:cs="宋体"/>
          <w:bCs/>
          <w:sz w:val="28"/>
          <w:szCs w:val="28"/>
        </w:rPr>
      </w:pPr>
      <w:r>
        <w:rPr>
          <w:rFonts w:hint="eastAsia" w:ascii="宋体" w:hAnsi="宋体" w:eastAsia="宋体" w:cs="宋体"/>
          <w:bCs/>
          <w:sz w:val="28"/>
          <w:szCs w:val="28"/>
        </w:rPr>
        <w:t>二、环境条件</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 xml:space="preserve">2.1 自然环境                      </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年平均气温：                22℃</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极端最高气温：              42.2℃</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极端最低气温：              0.1℃</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年平均相对湿度：            79%</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地震基本烈度：              7度（中国烈度）</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2.2 海拔高度</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材料安装厂房操作面海拔高程：      ≈130m</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2.3 安装环境条件</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2.3.1 负载等级：II级，100%负荷连续，150% 负荷1min</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2.3.2 使用在高温、高磁场、振动、多粉尘、氟化物气体的环境。</w:t>
      </w:r>
    </w:p>
    <w:p>
      <w:pPr>
        <w:pStyle w:val="14"/>
        <w:spacing w:line="482" w:lineRule="exact"/>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三、设备供货数量</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3.1设备名称及数量：</w:t>
      </w:r>
    </w:p>
    <w:p>
      <w:pPr>
        <w:pStyle w:val="14"/>
        <w:spacing w:line="482" w:lineRule="exact"/>
        <w:ind w:left="420" w:leftChars="0" w:firstLine="420" w:firstLineChars="0"/>
        <w:jc w:val="both"/>
        <w:rPr>
          <w:rFonts w:hint="default"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名称：</w:t>
      </w:r>
      <w:r>
        <w:rPr>
          <w:rFonts w:hint="eastAsia" w:cs="宋体" w:asciiTheme="minorEastAsia" w:hAnsiTheme="minorEastAsia" w:eastAsiaTheme="minorEastAsia"/>
          <w:color w:val="000000"/>
          <w:sz w:val="28"/>
          <w:szCs w:val="28"/>
          <w:lang w:eastAsia="zh-CN"/>
        </w:rPr>
        <w:t>光纤直流传感器校验仪</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数量：1套</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3.2供货范围</w:t>
      </w:r>
    </w:p>
    <w:tbl>
      <w:tblPr>
        <w:tblStyle w:val="8"/>
        <w:tblW w:w="865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57" w:type="dxa"/>
          <w:bottom w:w="0" w:type="dxa"/>
          <w:right w:w="57" w:type="dxa"/>
        </w:tblCellMar>
      </w:tblPr>
      <w:tblGrid>
        <w:gridCol w:w="763"/>
        <w:gridCol w:w="1972"/>
        <w:gridCol w:w="2687"/>
        <w:gridCol w:w="641"/>
        <w:gridCol w:w="790"/>
        <w:gridCol w:w="18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57" w:type="dxa"/>
            <w:bottom w:w="0" w:type="dxa"/>
            <w:right w:w="57" w:type="dxa"/>
          </w:tblCellMar>
        </w:tblPrEx>
        <w:trPr>
          <w:trHeight w:val="567" w:hRule="atLeast"/>
          <w:jc w:val="center"/>
        </w:trPr>
        <w:tc>
          <w:tcPr>
            <w:tcW w:w="763" w:type="dxa"/>
            <w:vAlign w:val="center"/>
          </w:tcPr>
          <w:p>
            <w:pPr>
              <w:pStyle w:val="14"/>
              <w:keepNext w:val="0"/>
              <w:keepLines w:val="0"/>
              <w:pageBreakBefore w:val="0"/>
              <w:widowControl w:val="0"/>
              <w:kinsoku/>
              <w:wordWrap/>
              <w:overflowPunct/>
              <w:topLinePunct w:val="0"/>
              <w:autoSpaceDE/>
              <w:autoSpaceDN/>
              <w:bidi w:val="0"/>
              <w:adjustRightInd/>
              <w:snapToGrid w:val="0"/>
              <w:spacing w:after="80" w:line="24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序号</w:t>
            </w:r>
          </w:p>
        </w:tc>
        <w:tc>
          <w:tcPr>
            <w:tcW w:w="1972" w:type="dxa"/>
            <w:vAlign w:val="center"/>
          </w:tcPr>
          <w:p>
            <w:pPr>
              <w:pStyle w:val="26"/>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名称</w:t>
            </w:r>
          </w:p>
        </w:tc>
        <w:tc>
          <w:tcPr>
            <w:tcW w:w="2687" w:type="dxa"/>
            <w:vAlign w:val="center"/>
          </w:tcPr>
          <w:p>
            <w:pPr>
              <w:pStyle w:val="26"/>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规格型号</w:t>
            </w:r>
          </w:p>
        </w:tc>
        <w:tc>
          <w:tcPr>
            <w:tcW w:w="641" w:type="dxa"/>
            <w:vAlign w:val="center"/>
          </w:tcPr>
          <w:p>
            <w:pPr>
              <w:pStyle w:val="14"/>
              <w:keepNext w:val="0"/>
              <w:keepLines w:val="0"/>
              <w:pageBreakBefore w:val="0"/>
              <w:widowControl w:val="0"/>
              <w:kinsoku/>
              <w:wordWrap/>
              <w:overflowPunct/>
              <w:topLinePunct w:val="0"/>
              <w:autoSpaceDE/>
              <w:autoSpaceDN/>
              <w:bidi w:val="0"/>
              <w:adjustRightInd/>
              <w:snapToGrid w:val="0"/>
              <w:spacing w:after="80" w:line="24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单位</w:t>
            </w:r>
          </w:p>
        </w:tc>
        <w:tc>
          <w:tcPr>
            <w:tcW w:w="790" w:type="dxa"/>
            <w:vAlign w:val="center"/>
          </w:tcPr>
          <w:p>
            <w:pPr>
              <w:pStyle w:val="26"/>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1806" w:type="dxa"/>
            <w:vAlign w:val="center"/>
          </w:tcPr>
          <w:p>
            <w:pPr>
              <w:pStyle w:val="26"/>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57" w:type="dxa"/>
            <w:bottom w:w="0" w:type="dxa"/>
            <w:right w:w="57" w:type="dxa"/>
          </w:tblCellMar>
        </w:tblPrEx>
        <w:trPr>
          <w:trHeight w:val="567" w:hRule="atLeast"/>
          <w:jc w:val="center"/>
        </w:trPr>
        <w:tc>
          <w:tcPr>
            <w:tcW w:w="763" w:type="dxa"/>
            <w:vAlign w:val="center"/>
          </w:tcPr>
          <w:p>
            <w:pPr>
              <w:pStyle w:val="26"/>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972" w:type="dxa"/>
            <w:vAlign w:val="center"/>
          </w:tcPr>
          <w:p>
            <w:pPr>
              <w:pStyle w:val="26"/>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4"/>
                <w:szCs w:val="24"/>
              </w:rPr>
            </w:pPr>
            <w:r>
              <w:rPr>
                <w:rFonts w:hint="eastAsia" w:cs="宋体" w:asciiTheme="minorEastAsia" w:hAnsiTheme="minorEastAsia" w:eastAsiaTheme="minorEastAsia"/>
                <w:color w:val="000000"/>
                <w:sz w:val="28"/>
                <w:szCs w:val="28"/>
                <w:lang w:eastAsia="zh-CN"/>
              </w:rPr>
              <w:t>光纤直流传感器校验仪</w:t>
            </w:r>
          </w:p>
        </w:tc>
        <w:tc>
          <w:tcPr>
            <w:tcW w:w="2687" w:type="dxa"/>
            <w:vAlign w:val="center"/>
          </w:tcPr>
          <w:p>
            <w:pPr>
              <w:pStyle w:val="26"/>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4"/>
                <w:szCs w:val="24"/>
                <w:lang w:eastAsia="zh-CN"/>
              </w:rPr>
            </w:pPr>
            <w:r>
              <w:rPr>
                <w:rFonts w:hint="eastAsia" w:ascii="宋体" w:hAnsi="宋体" w:eastAsia="宋体" w:cs="宋体"/>
                <w:color w:val="000000"/>
                <w:kern w:val="0"/>
                <w:sz w:val="27"/>
                <w:szCs w:val="27"/>
                <w:lang w:val="en-US" w:eastAsia="zh-CN" w:bidi="ar"/>
              </w:rPr>
              <w:t>5-100kA</w:t>
            </w:r>
          </w:p>
        </w:tc>
        <w:tc>
          <w:tcPr>
            <w:tcW w:w="641" w:type="dxa"/>
            <w:vAlign w:val="center"/>
          </w:tcPr>
          <w:p>
            <w:pPr>
              <w:pStyle w:val="26"/>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790" w:type="dxa"/>
            <w:vAlign w:val="center"/>
          </w:tcPr>
          <w:p>
            <w:pPr>
              <w:pStyle w:val="26"/>
              <w:keepNext w:val="0"/>
              <w:keepLines w:val="0"/>
              <w:pageBreakBefore w:val="0"/>
              <w:widowControl w:val="0"/>
              <w:kinsoku/>
              <w:wordWrap/>
              <w:overflowPunct/>
              <w:topLinePunct w:val="0"/>
              <w:autoSpaceDE/>
              <w:autoSpaceDN/>
              <w:bidi w:val="0"/>
              <w:adjustRightInd/>
              <w:snapToGrid w:val="0"/>
              <w:spacing w:line="240" w:lineRule="atLeast"/>
              <w:ind w:firstLine="24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1</w:t>
            </w:r>
          </w:p>
        </w:tc>
        <w:tc>
          <w:tcPr>
            <w:tcW w:w="1806" w:type="dxa"/>
            <w:vAlign w:val="center"/>
          </w:tcPr>
          <w:p>
            <w:pPr>
              <w:pStyle w:val="26"/>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4"/>
                <w:szCs w:val="24"/>
              </w:rPr>
            </w:pPr>
          </w:p>
        </w:tc>
      </w:tr>
    </w:tbl>
    <w:p>
      <w:pPr>
        <w:pStyle w:val="14"/>
        <w:spacing w:after="80" w:line="240" w:lineRule="auto"/>
        <w:rPr>
          <w:rFonts w:asciiTheme="minorEastAsia" w:hAnsiTheme="minorEastAsia" w:eastAsiaTheme="minorEastAsia"/>
          <w:sz w:val="28"/>
          <w:szCs w:val="28"/>
          <w:lang w:eastAsia="zh-CN"/>
        </w:rPr>
      </w:pPr>
    </w:p>
    <w:bookmarkEnd w:id="0"/>
    <w:bookmarkEnd w:id="1"/>
    <w:bookmarkEnd w:id="2"/>
    <w:bookmarkEnd w:id="3"/>
    <w:p>
      <w:pPr>
        <w:pStyle w:val="14"/>
        <w:spacing w:line="360" w:lineRule="auto"/>
        <w:jc w:val="both"/>
        <w:rPr>
          <w:rFonts w:hint="eastAsia" w:cs="宋体" w:asciiTheme="minorEastAsia" w:hAnsiTheme="minorEastAsia" w:eastAsiaTheme="minorEastAsia"/>
          <w:color w:val="000000"/>
          <w:sz w:val="28"/>
          <w:szCs w:val="28"/>
          <w:lang w:val="en-US" w:eastAsia="zh-CN" w:bidi="en-US"/>
        </w:rPr>
      </w:pPr>
      <w:bookmarkStart w:id="4" w:name="bookmark14"/>
      <w:bookmarkStart w:id="5" w:name="bookmark11"/>
      <w:bookmarkStart w:id="6" w:name="bookmark12"/>
      <w:r>
        <w:rPr>
          <w:rFonts w:hint="eastAsia" w:cs="宋体" w:asciiTheme="minorEastAsia" w:hAnsiTheme="minorEastAsia" w:eastAsiaTheme="minorEastAsia"/>
          <w:color w:val="000000"/>
          <w:sz w:val="28"/>
          <w:szCs w:val="28"/>
          <w:lang w:val="en-US" w:eastAsia="zh-CN" w:bidi="en-US"/>
        </w:rPr>
        <w:t>四、技术参数及性能指标</w:t>
      </w:r>
      <w:bookmarkEnd w:id="4"/>
      <w:bookmarkEnd w:id="5"/>
      <w:bookmarkEnd w:id="6"/>
    </w:p>
    <w:p>
      <w:pPr>
        <w:pStyle w:val="14"/>
        <w:spacing w:line="360" w:lineRule="auto"/>
        <w:ind w:firstLine="420" w:firstLineChars="0"/>
        <w:jc w:val="both"/>
        <w:rPr>
          <w:rFonts w:hint="eastAsia" w:cs="宋体" w:asciiTheme="minorEastAsia" w:hAnsiTheme="minorEastAsia" w:eastAsiaTheme="minorEastAsia"/>
          <w:color w:val="000000"/>
          <w:sz w:val="28"/>
          <w:szCs w:val="28"/>
          <w:lang w:val="en-US" w:eastAsia="zh-CN" w:bidi="en-US"/>
        </w:rPr>
      </w:pPr>
      <w:bookmarkStart w:id="7" w:name="bookmark5"/>
      <w:bookmarkStart w:id="8" w:name="bookmark6"/>
      <w:bookmarkStart w:id="9" w:name="bookmark4"/>
      <w:r>
        <w:rPr>
          <w:rFonts w:hint="eastAsia" w:cs="宋体" w:asciiTheme="minorEastAsia" w:hAnsiTheme="minorEastAsia" w:eastAsiaTheme="minorEastAsia"/>
          <w:color w:val="000000"/>
          <w:sz w:val="28"/>
          <w:szCs w:val="28"/>
          <w:lang w:val="en-US" w:eastAsia="zh-CN" w:bidi="en-US"/>
        </w:rPr>
        <w:t>4.1主要技术参数</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 xml:space="preserve">4.1.1测量范围：5～100kA   </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4.1.2准确度：±0.05%（全温度范围）</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4.1.3温度漂移：±0.005%℃max</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4.1.4重复误差：±0.05%Fs</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4.1.5偏心误差：±0.1%</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4.1.6线性误差：＜±0.1%Fs</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4.1.7位置影响：位置附加误差＜0.05%；</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4.1.8带宽：100kHz</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4.1.9外磁场影响：不受电磁场影响</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4.1.10供电电源：AC220V±10% 50Hz-60Hz</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 xml:space="preserve">4.1.11功    耗：＜10W </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4.1.12量值输出： 0-5V</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4.1.13其它参数符合相关的IEC标准</w:t>
      </w:r>
    </w:p>
    <w:p>
      <w:pPr>
        <w:pStyle w:val="14"/>
        <w:spacing w:line="482" w:lineRule="exact"/>
        <w:ind w:firstLine="420" w:firstLineChars="0"/>
        <w:jc w:val="both"/>
        <w:rPr>
          <w:rFonts w:hint="default"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4.2性能及要求</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4.2.1检测箱触摸屏操作显示，中文菜单，历史曲线查询，标准传感器值、被检测传感器值、差值同步显示在界面。</w:t>
      </w:r>
    </w:p>
    <w:p>
      <w:pPr>
        <w:keepNext w:val="0"/>
        <w:keepLines w:val="0"/>
        <w:widowControl/>
        <w:suppressLineNumbers w:val="0"/>
        <w:ind w:left="420" w:leftChars="200" w:firstLine="420" w:firstLineChars="150"/>
        <w:jc w:val="left"/>
        <w:rPr>
          <w:rFonts w:hint="eastAsia" w:cs="宋体" w:asciiTheme="minorEastAsia" w:hAnsiTheme="minorEastAsia" w:eastAsiaTheme="minorEastAsia"/>
          <w:color w:val="000000"/>
          <w:kern w:val="2"/>
          <w:sz w:val="28"/>
          <w:szCs w:val="28"/>
          <w:lang w:val="en-US" w:eastAsia="zh-CN" w:bidi="en-US"/>
        </w:rPr>
      </w:pPr>
      <w:r>
        <w:rPr>
          <w:rFonts w:hint="eastAsia" w:cs="宋体" w:asciiTheme="minorEastAsia" w:hAnsiTheme="minorEastAsia" w:eastAsiaTheme="minorEastAsia"/>
          <w:color w:val="000000"/>
          <w:kern w:val="2"/>
          <w:sz w:val="28"/>
          <w:szCs w:val="28"/>
          <w:lang w:val="en-US" w:eastAsia="zh-CN" w:bidi="en-US"/>
        </w:rPr>
        <w:t>4.2.2不受外磁场干扰，其检测数据具有精度高、频带宽和不受温度飘移影响。</w:t>
      </w:r>
    </w:p>
    <w:p>
      <w:pPr>
        <w:pStyle w:val="2"/>
        <w:ind w:left="0" w:leftChars="0" w:firstLine="840" w:firstLineChars="300"/>
        <w:rPr>
          <w:rFonts w:hint="default"/>
          <w:lang w:val="en-US" w:eastAsia="zh-CN"/>
        </w:rPr>
      </w:pPr>
      <w:r>
        <w:rPr>
          <w:rFonts w:hint="eastAsia" w:cs="宋体" w:asciiTheme="minorEastAsia" w:hAnsiTheme="minorEastAsia" w:eastAsiaTheme="minorEastAsia"/>
          <w:color w:val="000000"/>
          <w:kern w:val="2"/>
          <w:sz w:val="28"/>
          <w:szCs w:val="28"/>
          <w:lang w:val="en-US" w:eastAsia="zh-CN" w:bidi="en-US"/>
        </w:rPr>
        <w:t>4.2.3 被测传感器输入电压为0-5V，且</w:t>
      </w:r>
      <w:r>
        <w:rPr>
          <w:rFonts w:hint="eastAsia" w:cs="宋体" w:asciiTheme="minorEastAsia" w:hAnsiTheme="minorEastAsia" w:eastAsiaTheme="minorEastAsia"/>
          <w:color w:val="000000"/>
          <w:sz w:val="28"/>
          <w:szCs w:val="28"/>
          <w:lang w:val="en-US" w:eastAsia="zh-CN" w:bidi="en-US"/>
        </w:rPr>
        <w:t>测量范围可调节。</w:t>
      </w:r>
    </w:p>
    <w:p>
      <w:pPr>
        <w:pStyle w:val="14"/>
        <w:spacing w:line="482" w:lineRule="exact"/>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五、检验及试验</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5.1外观及装配质量检验</w:t>
      </w:r>
    </w:p>
    <w:p>
      <w:pPr>
        <w:pStyle w:val="14"/>
        <w:spacing w:line="482" w:lineRule="exact"/>
        <w:ind w:firstLine="560" w:firstLineChars="20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整柜符合设计图样及有关文件要求，外观整齐、清洁、油漆和电镀保护层表面完好、光洁；绝缘材料表面光滑无开裂，无明显气泡和受潮现象；装配符合图纸及有关文件要求；紧固件紧固良好，磨擦部分动作圆滑，加注润滑油脂；活动零部件动作灵活、可靠，外购零部件完好。</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5.2卖方提供的货物在出厂前必须进行质量检验，试车和试运转。经检验合格后方可出厂并提供质量检验书、试验和试运转详细记录、产品合格证书</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5.3在设备进行关键的实验和单元设备组装前，卖方必须提前一周书面通知买方，买方有权指派技术人员参加整个实验和组装过程。</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5.4在出厂检验工作进行前，卖方必须提前一周书面通知买方，买方有权指派技术人员参与出厂检验，卖方需向买方提供外协作的制造厂家、测试标准和测试报告，同时，卖方需为买方所派人员提供方便。</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5.5制造商必须具备生产投标产品所需的整体组装的厂房、实际生产条件（检测、加工、组装、试验等）、国家相关部门认可的生产相关设备资质和有效的型式试验报告。所投产品需进行全部出厂试验，或在国家认可的权威试验机构进行出厂试验，具备全套有效的型式试验报告。</w:t>
      </w:r>
    </w:p>
    <w:p>
      <w:pPr>
        <w:pStyle w:val="14"/>
        <w:spacing w:line="482" w:lineRule="exact"/>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六、设计标准及规范</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《霍尔电流传感器》                    JB/T7490-2007</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《高压直流输电系统直流电流测量装置》 GB/T 26216.1—2010</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《电力装置的电测量仪表装置设计规范》  GB/T50063-2008</w:t>
      </w:r>
    </w:p>
    <w:p>
      <w:pPr>
        <w:pStyle w:val="14"/>
        <w:spacing w:line="482" w:lineRule="exact"/>
        <w:ind w:firstLine="420" w:firstLineChars="0"/>
        <w:jc w:val="both"/>
        <w:rPr>
          <w:rFonts w:hint="eastAsia" w:cs="宋体" w:asciiTheme="minorEastAsia" w:hAnsiTheme="minorEastAsia" w:eastAsiaTheme="minorEastAsia"/>
          <w:color w:val="000000"/>
          <w:sz w:val="28"/>
          <w:szCs w:val="28"/>
          <w:highlight w:val="yellow"/>
          <w:lang w:val="en-US" w:eastAsia="zh-CN" w:bidi="en-US"/>
        </w:rPr>
      </w:pPr>
      <w:r>
        <w:rPr>
          <w:rFonts w:hint="eastAsia" w:cs="宋体" w:asciiTheme="minorEastAsia" w:hAnsiTheme="minorEastAsia" w:eastAsiaTheme="minorEastAsia"/>
          <w:color w:val="000000"/>
          <w:sz w:val="28"/>
          <w:szCs w:val="28"/>
          <w:lang w:val="en-US" w:eastAsia="zh-CN" w:bidi="en-US"/>
        </w:rPr>
        <w:t>《电测量及电能计量装置设计技术规程》  DL/T5137-2001</w:t>
      </w:r>
    </w:p>
    <w:bookmarkEnd w:id="7"/>
    <w:bookmarkEnd w:id="8"/>
    <w:bookmarkEnd w:id="9"/>
    <w:p>
      <w:pPr>
        <w:pStyle w:val="14"/>
        <w:spacing w:line="482" w:lineRule="exact"/>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七、质量保证</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7.1卖方应按质量保证体系文件的规定进行生产、试验和服务。</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7.2卖方应保证设备的设计合理，技术先进，材料合格，性能优良。</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7.3卖方保证所配套设备是完备的，齐全的，其规格及数量完全符合协议的要求。</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7.4卖方设备质量免费“三包”一年（包修、包换、包退）；“三包”期为设备带电运行之日起一年。</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包修：在运行中，属产品技术性能未达到协议技术条件时，或正常运行中发生非人为损坏时，卖方负责派技术人员免费提供维修。</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包换：若修理不好，卖方负责给予更换。</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包退：新设备仍不能运行，卖方负责办理退货。</w:t>
      </w:r>
    </w:p>
    <w:p>
      <w:pPr>
        <w:pStyle w:val="14"/>
        <w:spacing w:line="482" w:lineRule="exact"/>
        <w:jc w:val="both"/>
        <w:rPr>
          <w:rFonts w:hint="eastAsia" w:cs="宋体" w:asciiTheme="minorEastAsia" w:hAnsiTheme="minorEastAsia" w:eastAsiaTheme="minorEastAsia"/>
          <w:color w:val="000000"/>
          <w:sz w:val="28"/>
          <w:szCs w:val="28"/>
          <w:lang w:val="en-US" w:eastAsia="zh-CN" w:bidi="en-US"/>
        </w:rPr>
      </w:pPr>
      <w:bookmarkStart w:id="10" w:name="bookmark17"/>
      <w:bookmarkStart w:id="11" w:name="bookmark18"/>
      <w:bookmarkStart w:id="12" w:name="bookmark20"/>
      <w:r>
        <w:rPr>
          <w:rFonts w:hint="eastAsia" w:cs="宋体" w:asciiTheme="minorEastAsia" w:hAnsiTheme="minorEastAsia" w:eastAsiaTheme="minorEastAsia"/>
          <w:color w:val="000000"/>
          <w:sz w:val="28"/>
          <w:szCs w:val="28"/>
          <w:lang w:val="en-US" w:eastAsia="zh-CN" w:bidi="en-US"/>
        </w:rPr>
        <w:t>八、技术资料提供</w:t>
      </w:r>
      <w:bookmarkEnd w:id="10"/>
      <w:bookmarkEnd w:id="11"/>
      <w:bookmarkEnd w:id="12"/>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发货时，卖方应向买方随设备提供的资料如下：</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bookmarkStart w:id="13" w:name="bookmark21"/>
      <w:bookmarkEnd w:id="13"/>
      <w:r>
        <w:rPr>
          <w:rFonts w:hint="eastAsia" w:cs="宋体" w:asciiTheme="minorEastAsia" w:hAnsiTheme="minorEastAsia" w:eastAsiaTheme="minorEastAsia"/>
          <w:color w:val="000000"/>
          <w:sz w:val="28"/>
          <w:szCs w:val="28"/>
          <w:lang w:val="en-US" w:eastAsia="zh-CN" w:bidi="en-US"/>
        </w:rPr>
        <w:t>8.1易损件清单和合格证等资料各一套。</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8.2配套电子版资料3套。</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8.3产品使用说明书6份。</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8.4产品检修维护手册6份。</w:t>
      </w:r>
    </w:p>
    <w:p>
      <w:pPr>
        <w:pStyle w:val="14"/>
        <w:spacing w:line="482" w:lineRule="exact"/>
        <w:ind w:left="420" w:leftChars="0"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8.5设备出厂检测报告1份。</w:t>
      </w:r>
    </w:p>
    <w:p>
      <w:pPr>
        <w:pStyle w:val="14"/>
        <w:spacing w:line="482" w:lineRule="exact"/>
        <w:jc w:val="both"/>
        <w:rPr>
          <w:rFonts w:hint="eastAsia" w:cs="宋体" w:asciiTheme="minorEastAsia" w:hAnsiTheme="minorEastAsia" w:eastAsiaTheme="minorEastAsia"/>
          <w:color w:val="000000"/>
          <w:sz w:val="28"/>
          <w:szCs w:val="28"/>
          <w:lang w:val="en-US" w:eastAsia="zh-CN" w:bidi="en-US"/>
        </w:rPr>
      </w:pPr>
      <w:bookmarkStart w:id="14" w:name="bookmark31"/>
      <w:bookmarkStart w:id="15" w:name="bookmark32"/>
      <w:bookmarkStart w:id="16" w:name="bookmark33"/>
      <w:r>
        <w:rPr>
          <w:rFonts w:hint="eastAsia" w:cs="宋体" w:asciiTheme="minorEastAsia" w:hAnsiTheme="minorEastAsia" w:eastAsiaTheme="minorEastAsia"/>
          <w:color w:val="000000"/>
          <w:sz w:val="28"/>
          <w:szCs w:val="28"/>
          <w:lang w:val="en-US" w:eastAsia="zh-CN" w:bidi="en-US"/>
        </w:rPr>
        <w:t>九、安装、运输、调试及验收</w:t>
      </w:r>
      <w:bookmarkEnd w:id="14"/>
      <w:bookmarkEnd w:id="15"/>
      <w:bookmarkEnd w:id="16"/>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9.1在设备安装与调试过程中，买方派遣技术人员检查设备安装与调试进度、质量水平及装配状况，发现不符合本技术协议的行为，有权制止继续加工。但不免除卖方对设备质量所应承担的责任。</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9.2设备首次运行前，卖方选派有经验的工程技术人员免费到买方现场开展本设备调试、使用的工作并处理投运过程中出现的问题。</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9.3买、卖双方各指定一名现场代表，以保证合同设备安装、调试、试车、性能考核及验收的顺利进行。</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9.4在设备出厂发货前，卖方需通知买方，由买方确定是否参加出厂验收工作。</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9.5设备验收：依据技术要求对整套设备进行验收，根据设计运行数据出具验收报告。</w:t>
      </w:r>
      <w:r>
        <w:rPr>
          <w:rFonts w:hint="eastAsia" w:cs="宋体" w:asciiTheme="minorEastAsia" w:hAnsiTheme="minorEastAsia" w:eastAsiaTheme="minorEastAsia"/>
          <w:color w:val="000000"/>
          <w:sz w:val="28"/>
          <w:szCs w:val="28"/>
          <w:lang w:val="en-US" w:eastAsia="zh-CN" w:bidi="en-US"/>
        </w:rPr>
        <w:tab/>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bookmarkStart w:id="17" w:name="bookmark34"/>
      <w:bookmarkEnd w:id="17"/>
      <w:r>
        <w:rPr>
          <w:rFonts w:hint="eastAsia" w:cs="宋体" w:asciiTheme="minorEastAsia" w:hAnsiTheme="minorEastAsia" w:eastAsiaTheme="minorEastAsia"/>
          <w:color w:val="000000"/>
          <w:sz w:val="28"/>
          <w:szCs w:val="28"/>
          <w:lang w:val="en-US" w:eastAsia="zh-CN" w:bidi="en-US"/>
        </w:rPr>
        <w:t>9.6安全货物包装按GB/T13384-2008《机电产品包装通用技术条件》执行。要求有良好的防潮、防震、防锈、防挤压和防野蛮装卸等保护措施。</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9.7卖方在交货前三个工作日内以电报、传真或电传通知买方合同号、货物名 称、数量、毛重、体积（立方米）、运输工具名称及启运日期。</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9.8本技术协议涉及设备、材料如因卖方的技术及供货失误造成额外费用及工期延误的，卖方须承担相应责任。</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9.9卖方应负责免费培训买方操作、维修人员，直至买方人员全面掌握操作、检 修、系统组态、程序维护技术为止，并免费提供培训资料。</w:t>
      </w:r>
    </w:p>
    <w:p>
      <w:pPr>
        <w:pStyle w:val="14"/>
        <w:spacing w:line="482" w:lineRule="exact"/>
        <w:jc w:val="both"/>
        <w:rPr>
          <w:rFonts w:hint="eastAsia" w:cs="宋体" w:asciiTheme="minorEastAsia" w:hAnsiTheme="minorEastAsia" w:eastAsiaTheme="minorEastAsia"/>
          <w:color w:val="000000"/>
          <w:sz w:val="28"/>
          <w:szCs w:val="28"/>
          <w:lang w:val="en-US" w:eastAsia="zh-CN" w:bidi="en-US"/>
        </w:rPr>
      </w:pPr>
      <w:bookmarkStart w:id="18" w:name="bookmark37"/>
      <w:bookmarkStart w:id="19" w:name="bookmark35"/>
      <w:bookmarkStart w:id="20" w:name="bookmark36"/>
      <w:r>
        <w:rPr>
          <w:rFonts w:hint="eastAsia" w:cs="宋体" w:asciiTheme="minorEastAsia" w:hAnsiTheme="minorEastAsia" w:eastAsiaTheme="minorEastAsia"/>
          <w:color w:val="000000"/>
          <w:sz w:val="28"/>
          <w:szCs w:val="28"/>
          <w:lang w:val="en-US" w:eastAsia="zh-CN" w:bidi="en-US"/>
        </w:rPr>
        <w:t>十、售后服务要求及承诺</w:t>
      </w:r>
      <w:bookmarkEnd w:id="18"/>
      <w:bookmarkEnd w:id="19"/>
      <w:bookmarkEnd w:id="20"/>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10.1卖方必须派出合格的、能独立解决现场实际问题的调试人员。卖方的技术人员 必须能满足买方使用本条件设备的需要，否则，买方有权要求卖方更换技术服务人 员或延长服务期限，且发生的费用由卖方承担。</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10.2卖方服务人员的一切费用己包含在合同总价中，它包括诸如服务人员的工资及 各种补助、交通费、通讯费、食宿费、医疗费、各种保险费、各种税费等。</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bookmarkStart w:id="21" w:name="bookmark38"/>
      <w:bookmarkEnd w:id="21"/>
      <w:r>
        <w:rPr>
          <w:rFonts w:hint="eastAsia" w:cs="宋体" w:asciiTheme="minorEastAsia" w:hAnsiTheme="minorEastAsia" w:eastAsiaTheme="minorEastAsia"/>
          <w:color w:val="000000"/>
          <w:sz w:val="28"/>
          <w:szCs w:val="28"/>
          <w:lang w:val="en-US" w:eastAsia="zh-CN" w:bidi="en-US"/>
        </w:rPr>
        <w:t>10.3卖方现场服务人员的工作时间必须满足现场设备运行的要求。</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10.4买方在使用本设备前，应按照卖方提供的说明书中的有关项对本设备进行检 查，如发现存在机构缺陷或技术缺陷影响使用时，应及时通知卖方，由卖方负责整改。</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10.5卖方确保10年内提供本技术协议产品的优质、合理配件供应、软件指导。</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10.6使用过程中，如因产品质量问题，卖方接到买方通知后8小时给予答复，48小时到达服务现场。</w:t>
      </w:r>
    </w:p>
    <w:p>
      <w:pPr>
        <w:pStyle w:val="14"/>
        <w:spacing w:line="482" w:lineRule="exact"/>
        <w:jc w:val="both"/>
        <w:rPr>
          <w:rFonts w:hint="eastAsia" w:cs="宋体" w:asciiTheme="minorEastAsia" w:hAnsiTheme="minorEastAsia" w:eastAsiaTheme="minorEastAsia"/>
          <w:color w:val="000000"/>
          <w:sz w:val="28"/>
          <w:szCs w:val="28"/>
          <w:lang w:val="en-US" w:eastAsia="zh-CN" w:bidi="en-US"/>
        </w:rPr>
      </w:pPr>
      <w:bookmarkStart w:id="22" w:name="bookmark39"/>
      <w:bookmarkStart w:id="23" w:name="bookmark40"/>
      <w:bookmarkStart w:id="24" w:name="bookmark41"/>
      <w:r>
        <w:rPr>
          <w:rFonts w:hint="eastAsia" w:cs="宋体" w:asciiTheme="minorEastAsia" w:hAnsiTheme="minorEastAsia" w:eastAsiaTheme="minorEastAsia"/>
          <w:color w:val="000000"/>
          <w:sz w:val="28"/>
          <w:szCs w:val="28"/>
          <w:lang w:val="en-US" w:eastAsia="zh-CN" w:bidi="en-US"/>
        </w:rPr>
        <w:t>十一、供货时间、地点及交货方式</w:t>
      </w:r>
      <w:bookmarkEnd w:id="22"/>
      <w:bookmarkEnd w:id="23"/>
      <w:bookmarkEnd w:id="24"/>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11.1交货期：合同签订后15天到货（具体交货时间以买方通知为准,</w:t>
      </w:r>
      <w:r>
        <w:rPr>
          <w:rFonts w:hint="eastAsia" w:cs="宋体" w:asciiTheme="minorEastAsia" w:hAnsiTheme="minorEastAsia" w:eastAsiaTheme="minorEastAsia"/>
          <w:color w:val="000000"/>
          <w:sz w:val="28"/>
          <w:szCs w:val="28"/>
          <w:lang w:val="en-US" w:eastAsia="zh-CN" w:bidi="en-US"/>
        </w:rPr>
        <w:tab/>
      </w:r>
      <w:r>
        <w:rPr>
          <w:rFonts w:hint="eastAsia" w:cs="宋体" w:asciiTheme="minorEastAsia" w:hAnsiTheme="minorEastAsia" w:eastAsiaTheme="minorEastAsia"/>
          <w:color w:val="000000"/>
          <w:sz w:val="28"/>
          <w:szCs w:val="28"/>
          <w:lang w:val="en-US" w:eastAsia="zh-CN" w:bidi="en-US"/>
        </w:rPr>
        <w:t xml:space="preserve">卖方发货前应书面通知买方，经买方书面确认后方可发货，否则因此造成损失由卖方全部承担）。 </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11.2交货地点：广西百矿铝业有限公司。</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11.3交货方式：由卖方全部配送到买方施工现场，指导安装、调试、试运行，并根据本规范书规定的标准、规程、规范进行验收，合格后交货。</w:t>
      </w:r>
    </w:p>
    <w:p>
      <w:pPr>
        <w:pStyle w:val="14"/>
        <w:spacing w:line="482" w:lineRule="exact"/>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十二、其它</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12.1以上条款，双方应严格执行，未尽事宜，双方本着友好协商原则随时协调解决，并签订补充条款。</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12.2本技术协议将作为合同的一个附件,并与合同文件具有相同的法律效力。双方共同签署的会议纪要、补充文件等也与合同文件有相同的法律效力。</w:t>
      </w:r>
    </w:p>
    <w:p>
      <w:pPr>
        <w:pStyle w:val="14"/>
        <w:spacing w:line="482" w:lineRule="exact"/>
        <w:ind w:firstLine="420" w:firstLineChars="0"/>
        <w:jc w:val="both"/>
        <w:rPr>
          <w:rFonts w:hint="eastAsia" w:cs="宋体" w:asciiTheme="minorEastAsia" w:hAnsiTheme="minorEastAsia" w:eastAsiaTheme="minorEastAsia"/>
          <w:color w:val="000000"/>
          <w:sz w:val="28"/>
          <w:szCs w:val="28"/>
          <w:lang w:val="en-US" w:eastAsia="zh-CN" w:bidi="en-US"/>
        </w:rPr>
      </w:pPr>
      <w:r>
        <w:rPr>
          <w:rFonts w:hint="eastAsia" w:cs="宋体" w:asciiTheme="minorEastAsia" w:hAnsiTheme="minorEastAsia" w:eastAsiaTheme="minorEastAsia"/>
          <w:color w:val="000000"/>
          <w:sz w:val="28"/>
          <w:szCs w:val="28"/>
          <w:lang w:val="en-US" w:eastAsia="zh-CN" w:bidi="en-US"/>
        </w:rPr>
        <w:t>12.3本协议一式 2份，卖方执1 份，买方执1 份。</w:t>
      </w:r>
    </w:p>
    <w:p/>
    <w:sectPr>
      <w:pgSz w:w="11900" w:h="16840"/>
      <w:pgMar w:top="1134" w:right="1134" w:bottom="1134" w:left="1701" w:header="0" w:footer="6"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YmQyNTI0NWM0YmI1N2ZiOTRhZWQ5ZGI2MTYxNmYifQ=="/>
  </w:docVars>
  <w:rsids>
    <w:rsidRoot w:val="00174834"/>
    <w:rsid w:val="00140E79"/>
    <w:rsid w:val="00174834"/>
    <w:rsid w:val="00310899"/>
    <w:rsid w:val="003A5802"/>
    <w:rsid w:val="00547A76"/>
    <w:rsid w:val="0077752B"/>
    <w:rsid w:val="00902906"/>
    <w:rsid w:val="00B22030"/>
    <w:rsid w:val="00BA795F"/>
    <w:rsid w:val="00C71872"/>
    <w:rsid w:val="00CD5D0A"/>
    <w:rsid w:val="00D00488"/>
    <w:rsid w:val="00E26FF9"/>
    <w:rsid w:val="00E51A9A"/>
    <w:rsid w:val="03CD5E86"/>
    <w:rsid w:val="0A4C5E14"/>
    <w:rsid w:val="0B425DB2"/>
    <w:rsid w:val="0C851169"/>
    <w:rsid w:val="0D5C7452"/>
    <w:rsid w:val="0F3A220F"/>
    <w:rsid w:val="0F543FF4"/>
    <w:rsid w:val="13216B42"/>
    <w:rsid w:val="14930823"/>
    <w:rsid w:val="188F715A"/>
    <w:rsid w:val="189F4182"/>
    <w:rsid w:val="1A92756E"/>
    <w:rsid w:val="1F244811"/>
    <w:rsid w:val="1F9E078D"/>
    <w:rsid w:val="1FF266BE"/>
    <w:rsid w:val="228D20E0"/>
    <w:rsid w:val="26AC629B"/>
    <w:rsid w:val="287A4A83"/>
    <w:rsid w:val="28C55A1F"/>
    <w:rsid w:val="29CB3CC6"/>
    <w:rsid w:val="2E625356"/>
    <w:rsid w:val="2EC233FE"/>
    <w:rsid w:val="35597A0B"/>
    <w:rsid w:val="38512F88"/>
    <w:rsid w:val="385F6AA2"/>
    <w:rsid w:val="394E6378"/>
    <w:rsid w:val="398203AB"/>
    <w:rsid w:val="3B407F1F"/>
    <w:rsid w:val="3D3E1DDD"/>
    <w:rsid w:val="42132BCD"/>
    <w:rsid w:val="432247F6"/>
    <w:rsid w:val="43382B04"/>
    <w:rsid w:val="454574BB"/>
    <w:rsid w:val="48126516"/>
    <w:rsid w:val="484D70AD"/>
    <w:rsid w:val="49603AE7"/>
    <w:rsid w:val="4AD65500"/>
    <w:rsid w:val="4FD55ED7"/>
    <w:rsid w:val="56A52F34"/>
    <w:rsid w:val="58C85809"/>
    <w:rsid w:val="5AD04776"/>
    <w:rsid w:val="5EDA6D29"/>
    <w:rsid w:val="664A237C"/>
    <w:rsid w:val="6F7F7EBE"/>
    <w:rsid w:val="71701821"/>
    <w:rsid w:val="72031631"/>
    <w:rsid w:val="7B1D1D3E"/>
    <w:rsid w:val="7E094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4">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5">
    <w:name w:val="Date"/>
    <w:basedOn w:val="1"/>
    <w:next w:val="1"/>
    <w:link w:val="12"/>
    <w:semiHidden/>
    <w:unhideWhenUsed/>
    <w:qFormat/>
    <w:uiPriority w:val="99"/>
    <w:pPr>
      <w:ind w:left="100" w:leftChars="2500"/>
    </w:p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Body text|5_"/>
    <w:basedOn w:val="9"/>
    <w:link w:val="11"/>
    <w:qFormat/>
    <w:uiPriority w:val="0"/>
    <w:rPr>
      <w:rFonts w:ascii="宋体" w:hAnsi="宋体" w:eastAsia="宋体" w:cs="宋体"/>
      <w:sz w:val="44"/>
      <w:szCs w:val="44"/>
      <w:lang w:val="zh-TW" w:eastAsia="zh-TW" w:bidi="zh-TW"/>
    </w:rPr>
  </w:style>
  <w:style w:type="paragraph" w:customStyle="1" w:styleId="11">
    <w:name w:val="Body text|5"/>
    <w:basedOn w:val="1"/>
    <w:link w:val="10"/>
    <w:qFormat/>
    <w:uiPriority w:val="0"/>
    <w:pPr>
      <w:spacing w:after="1060" w:line="290" w:lineRule="auto"/>
      <w:jc w:val="center"/>
    </w:pPr>
    <w:rPr>
      <w:rFonts w:ascii="宋体" w:hAnsi="宋体" w:eastAsia="宋体" w:cs="宋体"/>
      <w:sz w:val="44"/>
      <w:szCs w:val="44"/>
      <w:lang w:val="zh-TW" w:eastAsia="zh-TW" w:bidi="zh-TW"/>
    </w:rPr>
  </w:style>
  <w:style w:type="character" w:customStyle="1" w:styleId="12">
    <w:name w:val="日期 Char"/>
    <w:basedOn w:val="9"/>
    <w:link w:val="5"/>
    <w:semiHidden/>
    <w:qFormat/>
    <w:uiPriority w:val="99"/>
  </w:style>
  <w:style w:type="character" w:customStyle="1" w:styleId="13">
    <w:name w:val="Body text|1_"/>
    <w:basedOn w:val="9"/>
    <w:link w:val="14"/>
    <w:qFormat/>
    <w:uiPriority w:val="0"/>
    <w:rPr>
      <w:rFonts w:ascii="宋体" w:hAnsi="宋体" w:eastAsia="宋体" w:cs="宋体"/>
      <w:sz w:val="20"/>
      <w:szCs w:val="20"/>
      <w:lang w:val="zh-TW" w:eastAsia="zh-TW" w:bidi="zh-TW"/>
    </w:rPr>
  </w:style>
  <w:style w:type="paragraph" w:customStyle="1" w:styleId="14">
    <w:name w:val="Body text|1"/>
    <w:basedOn w:val="1"/>
    <w:link w:val="13"/>
    <w:qFormat/>
    <w:uiPriority w:val="0"/>
    <w:pPr>
      <w:spacing w:line="420" w:lineRule="auto"/>
      <w:jc w:val="left"/>
    </w:pPr>
    <w:rPr>
      <w:rFonts w:ascii="宋体" w:hAnsi="宋体" w:eastAsia="宋体" w:cs="宋体"/>
      <w:sz w:val="20"/>
      <w:szCs w:val="20"/>
      <w:lang w:val="zh-TW" w:eastAsia="zh-TW" w:bidi="zh-TW"/>
    </w:rPr>
  </w:style>
  <w:style w:type="character" w:customStyle="1" w:styleId="15">
    <w:name w:val="Heading #1|1_"/>
    <w:basedOn w:val="9"/>
    <w:link w:val="16"/>
    <w:qFormat/>
    <w:uiPriority w:val="0"/>
    <w:rPr>
      <w:rFonts w:ascii="宋体" w:hAnsi="宋体" w:eastAsia="宋体" w:cs="宋体"/>
      <w:sz w:val="28"/>
      <w:szCs w:val="28"/>
      <w:lang w:val="zh-TW" w:eastAsia="zh-TW" w:bidi="zh-TW"/>
    </w:rPr>
  </w:style>
  <w:style w:type="paragraph" w:customStyle="1" w:styleId="16">
    <w:name w:val="Heading #1|1"/>
    <w:basedOn w:val="1"/>
    <w:link w:val="15"/>
    <w:qFormat/>
    <w:uiPriority w:val="0"/>
    <w:pPr>
      <w:spacing w:after="280"/>
      <w:ind w:firstLine="200"/>
      <w:jc w:val="left"/>
      <w:outlineLvl w:val="0"/>
    </w:pPr>
    <w:rPr>
      <w:rFonts w:ascii="宋体" w:hAnsi="宋体" w:eastAsia="宋体" w:cs="宋体"/>
      <w:sz w:val="28"/>
      <w:szCs w:val="28"/>
      <w:lang w:val="zh-TW" w:eastAsia="zh-TW" w:bidi="zh-TW"/>
    </w:rPr>
  </w:style>
  <w:style w:type="character" w:customStyle="1" w:styleId="17">
    <w:name w:val="Body text|2_"/>
    <w:basedOn w:val="9"/>
    <w:link w:val="18"/>
    <w:qFormat/>
    <w:uiPriority w:val="0"/>
    <w:rPr>
      <w:rFonts w:ascii="宋体" w:hAnsi="宋体" w:eastAsia="宋体" w:cs="宋体"/>
      <w:sz w:val="30"/>
      <w:szCs w:val="30"/>
      <w:lang w:val="zh-TW" w:eastAsia="zh-TW" w:bidi="zh-TW"/>
    </w:rPr>
  </w:style>
  <w:style w:type="paragraph" w:customStyle="1" w:styleId="18">
    <w:name w:val="Body text|2"/>
    <w:basedOn w:val="1"/>
    <w:link w:val="17"/>
    <w:qFormat/>
    <w:uiPriority w:val="0"/>
    <w:pPr>
      <w:jc w:val="left"/>
    </w:pPr>
    <w:rPr>
      <w:rFonts w:ascii="宋体" w:hAnsi="宋体" w:eastAsia="宋体" w:cs="宋体"/>
      <w:sz w:val="30"/>
      <w:szCs w:val="30"/>
      <w:lang w:val="zh-TW" w:eastAsia="zh-TW" w:bidi="zh-TW"/>
    </w:rPr>
  </w:style>
  <w:style w:type="character" w:customStyle="1" w:styleId="19">
    <w:name w:val="Body text|4_"/>
    <w:basedOn w:val="9"/>
    <w:link w:val="20"/>
    <w:qFormat/>
    <w:uiPriority w:val="0"/>
    <w:rPr>
      <w:rFonts w:ascii="宋体" w:hAnsi="宋体" w:eastAsia="宋体" w:cs="宋体"/>
      <w:sz w:val="18"/>
      <w:szCs w:val="18"/>
      <w:u w:val="single"/>
      <w:lang w:val="zh-TW" w:eastAsia="zh-TW" w:bidi="zh-TW"/>
    </w:rPr>
  </w:style>
  <w:style w:type="paragraph" w:customStyle="1" w:styleId="20">
    <w:name w:val="Body text|4"/>
    <w:basedOn w:val="1"/>
    <w:link w:val="19"/>
    <w:qFormat/>
    <w:uiPriority w:val="0"/>
    <w:pPr>
      <w:spacing w:after="190" w:line="343" w:lineRule="auto"/>
      <w:jc w:val="center"/>
    </w:pPr>
    <w:rPr>
      <w:rFonts w:ascii="宋体" w:hAnsi="宋体" w:eastAsia="宋体" w:cs="宋体"/>
      <w:sz w:val="18"/>
      <w:szCs w:val="18"/>
      <w:u w:val="single"/>
      <w:lang w:val="zh-TW" w:eastAsia="zh-TW" w:bidi="zh-TW"/>
    </w:rPr>
  </w:style>
  <w:style w:type="character" w:customStyle="1" w:styleId="21">
    <w:name w:val="Body text|3_"/>
    <w:basedOn w:val="9"/>
    <w:link w:val="22"/>
    <w:qFormat/>
    <w:uiPriority w:val="0"/>
    <w:rPr>
      <w:rFonts w:ascii="宋体" w:hAnsi="宋体" w:eastAsia="宋体" w:cs="宋体"/>
    </w:rPr>
  </w:style>
  <w:style w:type="paragraph" w:customStyle="1" w:styleId="22">
    <w:name w:val="Body text|3"/>
    <w:basedOn w:val="1"/>
    <w:link w:val="21"/>
    <w:qFormat/>
    <w:uiPriority w:val="0"/>
    <w:pPr>
      <w:jc w:val="left"/>
    </w:pPr>
    <w:rPr>
      <w:rFonts w:ascii="宋体" w:hAnsi="宋体" w:eastAsia="宋体" w:cs="宋体"/>
    </w:rPr>
  </w:style>
  <w:style w:type="character" w:customStyle="1" w:styleId="23">
    <w:name w:val="Other|2_"/>
    <w:basedOn w:val="9"/>
    <w:link w:val="24"/>
    <w:qFormat/>
    <w:uiPriority w:val="0"/>
    <w:rPr>
      <w:rFonts w:ascii="宋体" w:hAnsi="宋体" w:eastAsia="宋体" w:cs="宋体"/>
      <w:sz w:val="22"/>
      <w:lang w:val="zh-TW" w:eastAsia="zh-TW" w:bidi="zh-TW"/>
    </w:rPr>
  </w:style>
  <w:style w:type="paragraph" w:customStyle="1" w:styleId="24">
    <w:name w:val="Other|2"/>
    <w:basedOn w:val="1"/>
    <w:link w:val="23"/>
    <w:qFormat/>
    <w:uiPriority w:val="0"/>
    <w:pPr>
      <w:jc w:val="left"/>
    </w:pPr>
    <w:rPr>
      <w:rFonts w:ascii="宋体" w:hAnsi="宋体" w:eastAsia="宋体" w:cs="宋体"/>
      <w:sz w:val="22"/>
      <w:lang w:val="zh-TW" w:eastAsia="zh-TW" w:bidi="zh-TW"/>
    </w:rPr>
  </w:style>
  <w:style w:type="character" w:customStyle="1" w:styleId="25">
    <w:name w:val="Other|1_"/>
    <w:basedOn w:val="9"/>
    <w:link w:val="26"/>
    <w:qFormat/>
    <w:uiPriority w:val="0"/>
    <w:rPr>
      <w:rFonts w:ascii="宋体" w:hAnsi="宋体" w:eastAsia="宋体" w:cs="宋体"/>
      <w:sz w:val="20"/>
      <w:szCs w:val="20"/>
      <w:lang w:val="zh-TW" w:eastAsia="zh-TW" w:bidi="zh-TW"/>
    </w:rPr>
  </w:style>
  <w:style w:type="paragraph" w:customStyle="1" w:styleId="26">
    <w:name w:val="Other|1"/>
    <w:basedOn w:val="1"/>
    <w:link w:val="25"/>
    <w:qFormat/>
    <w:uiPriority w:val="0"/>
    <w:pPr>
      <w:spacing w:line="420" w:lineRule="auto"/>
      <w:jc w:val="left"/>
    </w:pPr>
    <w:rPr>
      <w:rFonts w:ascii="宋体" w:hAnsi="宋体" w:eastAsia="宋体" w:cs="宋体"/>
      <w:sz w:val="20"/>
      <w:szCs w:val="20"/>
      <w:lang w:val="zh-TW" w:eastAsia="zh-TW" w:bidi="zh-TW"/>
    </w:rPr>
  </w:style>
  <w:style w:type="paragraph" w:customStyle="1" w:styleId="27">
    <w:name w:val="样式 标题 3条标题1.1.1Level 3 Headsect1.2.3h33rd levelH33Head 3..."/>
    <w:basedOn w:val="3"/>
    <w:qFormat/>
    <w:uiPriority w:val="0"/>
    <w:pPr>
      <w:spacing w:before="0" w:after="0" w:line="360" w:lineRule="auto"/>
    </w:pPr>
    <w:rPr>
      <w:rFonts w:ascii="宋体" w:hAnsi="宋体"/>
      <w:sz w:val="24"/>
    </w:rPr>
  </w:style>
  <w:style w:type="paragraph" w:customStyle="1" w:styleId="28">
    <w:name w:val="样式2"/>
    <w:basedOn w:val="1"/>
    <w:qFormat/>
    <w:uiPriority w:val="0"/>
    <w:pPr>
      <w:adjustRightInd w:val="0"/>
      <w:spacing w:line="410" w:lineRule="atLeast"/>
      <w:jc w:val="left"/>
    </w:pPr>
    <w:rPr>
      <w:kern w:val="0"/>
      <w:sz w:val="24"/>
      <w:szCs w:val="20"/>
    </w:rPr>
  </w:style>
  <w:style w:type="paragraph" w:customStyle="1" w:styleId="29">
    <w:name w:val="1.1.1.1"/>
    <w:basedOn w:val="1"/>
    <w:qFormat/>
    <w:uiPriority w:val="0"/>
    <w:pPr>
      <w:tabs>
        <w:tab w:val="left" w:pos="1134"/>
      </w:tabs>
      <w:adjustRightInd w:val="0"/>
      <w:spacing w:before="60" w:after="60" w:line="360" w:lineRule="atLeast"/>
      <w:textAlignment w:val="baseline"/>
    </w:pPr>
    <w:rPr>
      <w:rFonts w:ascii="Arial" w:hAnsi="Arial"/>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B2F02-244D-4701-A9EA-18C27C8490B9}">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3738</Words>
  <Characters>4097</Characters>
  <Lines>37</Lines>
  <Paragraphs>10</Paragraphs>
  <TotalTime>6</TotalTime>
  <ScaleCrop>false</ScaleCrop>
  <LinksUpToDate>false</LinksUpToDate>
  <CharactersWithSpaces>4259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2022-03-03T11:12:00Z</dcterms:created>
  <dc:creator>njm</dc:creator>
  <cp:lastModifiedBy>SEVEN-ELEVEN</cp:lastModifiedBy>
  <cp:lastPrinted>2022-03-03T11:50:00Z</cp:lastPrinted>
  <dcterms:modified xsi:type="dcterms:W3CDTF">2022-06-29T00:41:25Z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91CFFC209AE949EF85329ED632D7AD92</vt:lpwstr>
  </property>
</Properties>
</file>