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  <w:t>百色百矿发电有限公司2022年#2A过热器PCV泄放阀采购及安装项目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类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-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电厂设备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百色百矿发电有限公司2022年#2A过热器PCV泄放阀采购及安装项目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项目概况与招标范围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百色百矿发电有限公司（以下简称“百矿发电厂”）位于广西百色市田阳区头塘镇二塘村，距百色市约28公里，距田阳约11公里，东面及南面为农田区，西南面紧邻右江河，厂区门口为324国道。百矿发电厂装机容量为2×350MW，为提高机组经济性能，本次计划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采购1套泄放阀。现就百色百矿发电有限公司2022年#2A过热器PCV泄放阀采购及安装项目进行招标</w:t>
      </w:r>
      <w:r>
        <w:rPr>
          <w:rFonts w:hint="eastAsia" w:ascii="微软雅黑" w:hAnsi="微软雅黑" w:eastAsia="微软雅黑" w:cs="微软雅黑"/>
          <w:sz w:val="24"/>
        </w:rPr>
        <w:t>，欢迎有实力的公司参与此次招标活动。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2.2招标范围：</w:t>
      </w:r>
    </w:p>
    <w:tbl>
      <w:tblPr>
        <w:tblStyle w:val="14"/>
        <w:tblW w:w="9644" w:type="dxa"/>
        <w:jc w:val="center"/>
        <w:tblInd w:w="-5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37"/>
        <w:gridCol w:w="1984"/>
        <w:gridCol w:w="2466"/>
        <w:gridCol w:w="825"/>
        <w:gridCol w:w="1016"/>
        <w:gridCol w:w="22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  <w:tblHeader/>
          <w:jc w:val="center"/>
        </w:trPr>
        <w:tc>
          <w:tcPr>
            <w:tcW w:w="113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名称</w:t>
            </w:r>
          </w:p>
        </w:tc>
        <w:tc>
          <w:tcPr>
            <w:tcW w:w="24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规格和型号</w:t>
            </w:r>
          </w:p>
        </w:tc>
        <w:tc>
          <w:tcPr>
            <w:tcW w:w="8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单位</w:t>
            </w:r>
          </w:p>
        </w:tc>
        <w:tc>
          <w:tcPr>
            <w:tcW w:w="101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数量</w:t>
            </w:r>
          </w:p>
        </w:tc>
        <w:tc>
          <w:tcPr>
            <w:tcW w:w="221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atLeast"/>
          <w:jc w:val="center"/>
        </w:trPr>
        <w:tc>
          <w:tcPr>
            <w:tcW w:w="113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动力驱动泄</w:t>
            </w:r>
          </w:p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放球阀(本体)</w:t>
            </w:r>
          </w:p>
        </w:tc>
        <w:tc>
          <w:tcPr>
            <w:tcW w:w="24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PCV阀3547W-2(V)120-FB1750*SY1043PS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套</w:t>
            </w:r>
          </w:p>
        </w:tc>
        <w:tc>
          <w:tcPr>
            <w:tcW w:w="10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1</w:t>
            </w:r>
          </w:p>
        </w:tc>
        <w:tc>
          <w:tcPr>
            <w:tcW w:w="22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沿用旧驱动设备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  <w:jc w:val="center"/>
        </w:trPr>
        <w:tc>
          <w:tcPr>
            <w:tcW w:w="113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配套隔离阀</w:t>
            </w:r>
          </w:p>
        </w:tc>
        <w:tc>
          <w:tcPr>
            <w:tcW w:w="24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IBV 1.77</w:t>
            </w:r>
          </w:p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-4500WXW</w:t>
            </w:r>
          </w:p>
        </w:tc>
        <w:tc>
          <w:tcPr>
            <w:tcW w:w="8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套</w:t>
            </w:r>
          </w:p>
        </w:tc>
        <w:tc>
          <w:tcPr>
            <w:tcW w:w="101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</w:t>
            </w:r>
          </w:p>
        </w:tc>
        <w:tc>
          <w:tcPr>
            <w:tcW w:w="2216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</w:tbl>
    <w:p>
      <w:pPr>
        <w:pStyle w:val="2"/>
        <w:jc w:val="center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3.投标人资格要求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本次招标要求投标人具备以下资质。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3.2遵守中华人民共和国有关法律、法规和条例。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具有自行生产制造或销售代理资质；具有竞标规格及以上相应或相似条件下，近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年在国内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火电厂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不少于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1个类似业绩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业绩须附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列表及对应列表的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扫描件含首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尾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页、能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反应合同主体内容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、签字盖章页，否则按无效业绩处理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注：经销商需提供代理的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生产制造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厂家的营业执照、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授权委托书、资质文件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及业绩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本次招标不接受联合体投标。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次招标不接受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</w:p>
    <w:p>
      <w:pPr>
        <w:pStyle w:val="2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0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0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02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日（未在招标采购平台上注册过的供应商，因注册后需要审核，请至少提前一天进行注册）。</w:t>
      </w:r>
      <w:bookmarkStart w:id="0" w:name="_GoBack"/>
      <w:bookmarkEnd w:id="0"/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三证合一的营业执照副本；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ab/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企业概况及履约能力说明；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近三年的财务报表资料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pStyle w:val="2"/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   招标人：百色百矿发电有限公司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招标单位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地址：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广西百色市田阳区头塘镇二塘村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百色市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田阳区头塘镇百色百矿发电有限公司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电力业务部第一会议室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邮编：533615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 手机号 13978027196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技术: 熊建  手机号 15878636404  E-mail:Jian.Xiong01@geely.com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收款单位名称：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 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开户行：百色右江农村合作银行城郊支行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账号：603512010108950888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注：无论投标结果如何，投标人自行承担所有与参加投标活动有关的全部费用。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投诉、举报电话：0571-28098168（吉利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科技工程与商务发展部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）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百色百矿发电有限公司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日 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134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504CDA"/>
    <w:multiLevelType w:val="singleLevel"/>
    <w:tmpl w:val="F3504CDA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MTcxOTNiNTkwM2E2ZTdkNmI0ZjM5OGFjM2I0Y2QifQ=="/>
  </w:docVars>
  <w:rsids>
    <w:rsidRoot w:val="00172A27"/>
    <w:rsid w:val="00045F8B"/>
    <w:rsid w:val="001D7D8F"/>
    <w:rsid w:val="00853475"/>
    <w:rsid w:val="01145609"/>
    <w:rsid w:val="013E61E2"/>
    <w:rsid w:val="0176292B"/>
    <w:rsid w:val="01F514E4"/>
    <w:rsid w:val="02186A33"/>
    <w:rsid w:val="024D2111"/>
    <w:rsid w:val="02557C87"/>
    <w:rsid w:val="02B046A6"/>
    <w:rsid w:val="02B510FA"/>
    <w:rsid w:val="02FB4A5D"/>
    <w:rsid w:val="03261624"/>
    <w:rsid w:val="03391357"/>
    <w:rsid w:val="035809D3"/>
    <w:rsid w:val="036000C3"/>
    <w:rsid w:val="03822CFE"/>
    <w:rsid w:val="03CF73B2"/>
    <w:rsid w:val="047B2B1B"/>
    <w:rsid w:val="04B97278"/>
    <w:rsid w:val="065B3392"/>
    <w:rsid w:val="08066011"/>
    <w:rsid w:val="08294F11"/>
    <w:rsid w:val="08E6448C"/>
    <w:rsid w:val="092B7632"/>
    <w:rsid w:val="0A4A209B"/>
    <w:rsid w:val="0AFA0912"/>
    <w:rsid w:val="0B1D3D7C"/>
    <w:rsid w:val="0C55174C"/>
    <w:rsid w:val="0C75747C"/>
    <w:rsid w:val="0C8124EB"/>
    <w:rsid w:val="0CA5394B"/>
    <w:rsid w:val="0CB11563"/>
    <w:rsid w:val="0D505C1B"/>
    <w:rsid w:val="0E767028"/>
    <w:rsid w:val="0F3F1AA3"/>
    <w:rsid w:val="0F5C0D94"/>
    <w:rsid w:val="10C233A9"/>
    <w:rsid w:val="10EC5B3E"/>
    <w:rsid w:val="11740BD7"/>
    <w:rsid w:val="11DA1F24"/>
    <w:rsid w:val="11E44815"/>
    <w:rsid w:val="12165383"/>
    <w:rsid w:val="12296A3A"/>
    <w:rsid w:val="12F31522"/>
    <w:rsid w:val="132E71BB"/>
    <w:rsid w:val="13574F3A"/>
    <w:rsid w:val="138E06B8"/>
    <w:rsid w:val="143A44EA"/>
    <w:rsid w:val="146A5792"/>
    <w:rsid w:val="146C382B"/>
    <w:rsid w:val="14EA231D"/>
    <w:rsid w:val="150A2F6F"/>
    <w:rsid w:val="153E114C"/>
    <w:rsid w:val="156644E7"/>
    <w:rsid w:val="15866F89"/>
    <w:rsid w:val="158D1F4D"/>
    <w:rsid w:val="15FA0478"/>
    <w:rsid w:val="165A52E4"/>
    <w:rsid w:val="168009DC"/>
    <w:rsid w:val="1689600C"/>
    <w:rsid w:val="169336AF"/>
    <w:rsid w:val="183B2BE1"/>
    <w:rsid w:val="185674AB"/>
    <w:rsid w:val="18B47BD7"/>
    <w:rsid w:val="19B317F0"/>
    <w:rsid w:val="19EC0189"/>
    <w:rsid w:val="1AAF3709"/>
    <w:rsid w:val="1B7E2F52"/>
    <w:rsid w:val="1BD23F86"/>
    <w:rsid w:val="1C867D1E"/>
    <w:rsid w:val="1CF2587F"/>
    <w:rsid w:val="1DF833A9"/>
    <w:rsid w:val="1E012619"/>
    <w:rsid w:val="1E625304"/>
    <w:rsid w:val="1EF94E9C"/>
    <w:rsid w:val="1F5E6095"/>
    <w:rsid w:val="205C71BD"/>
    <w:rsid w:val="20716543"/>
    <w:rsid w:val="21AB121A"/>
    <w:rsid w:val="21DE79D4"/>
    <w:rsid w:val="22095287"/>
    <w:rsid w:val="22166BA9"/>
    <w:rsid w:val="221C055F"/>
    <w:rsid w:val="2227222A"/>
    <w:rsid w:val="225A73C1"/>
    <w:rsid w:val="22D0336F"/>
    <w:rsid w:val="235B2DA4"/>
    <w:rsid w:val="23A510A9"/>
    <w:rsid w:val="23D8367D"/>
    <w:rsid w:val="23F34CD8"/>
    <w:rsid w:val="247F5B01"/>
    <w:rsid w:val="25A0388E"/>
    <w:rsid w:val="25EF3DCB"/>
    <w:rsid w:val="26202C93"/>
    <w:rsid w:val="266A026F"/>
    <w:rsid w:val="26B24DF9"/>
    <w:rsid w:val="26F50A4F"/>
    <w:rsid w:val="27486A51"/>
    <w:rsid w:val="28001741"/>
    <w:rsid w:val="28E676DC"/>
    <w:rsid w:val="290D1F44"/>
    <w:rsid w:val="29562F4A"/>
    <w:rsid w:val="2A487B51"/>
    <w:rsid w:val="2A562521"/>
    <w:rsid w:val="2A664A66"/>
    <w:rsid w:val="2AC31A97"/>
    <w:rsid w:val="2AFA6CE1"/>
    <w:rsid w:val="2BAE1354"/>
    <w:rsid w:val="2C2010AB"/>
    <w:rsid w:val="2C3B13EC"/>
    <w:rsid w:val="2C9973F8"/>
    <w:rsid w:val="2D086A5A"/>
    <w:rsid w:val="2D6E2B18"/>
    <w:rsid w:val="2DB16E8B"/>
    <w:rsid w:val="2E44718D"/>
    <w:rsid w:val="2E8250B1"/>
    <w:rsid w:val="30691BEE"/>
    <w:rsid w:val="309B7A48"/>
    <w:rsid w:val="30A0299D"/>
    <w:rsid w:val="30B12B8E"/>
    <w:rsid w:val="30F6566A"/>
    <w:rsid w:val="31A82723"/>
    <w:rsid w:val="32E21E22"/>
    <w:rsid w:val="33484942"/>
    <w:rsid w:val="33813D19"/>
    <w:rsid w:val="35872826"/>
    <w:rsid w:val="36FA581D"/>
    <w:rsid w:val="372D5FD0"/>
    <w:rsid w:val="383E03FD"/>
    <w:rsid w:val="384A3BEB"/>
    <w:rsid w:val="38E06631"/>
    <w:rsid w:val="39441B6C"/>
    <w:rsid w:val="3A20148E"/>
    <w:rsid w:val="3A335C4A"/>
    <w:rsid w:val="3A4E5CD0"/>
    <w:rsid w:val="3A932306"/>
    <w:rsid w:val="3B950B19"/>
    <w:rsid w:val="3BC5272B"/>
    <w:rsid w:val="3BF23CE7"/>
    <w:rsid w:val="3BF76C89"/>
    <w:rsid w:val="3C844C04"/>
    <w:rsid w:val="3CB704EE"/>
    <w:rsid w:val="3CF7166D"/>
    <w:rsid w:val="3D4249FF"/>
    <w:rsid w:val="3D527AF5"/>
    <w:rsid w:val="3D5567B2"/>
    <w:rsid w:val="3E304603"/>
    <w:rsid w:val="3F4A6A3A"/>
    <w:rsid w:val="3F743FA6"/>
    <w:rsid w:val="3FCC2FD1"/>
    <w:rsid w:val="40285C30"/>
    <w:rsid w:val="410E6A76"/>
    <w:rsid w:val="41764A2B"/>
    <w:rsid w:val="41B67580"/>
    <w:rsid w:val="43B31BBC"/>
    <w:rsid w:val="449D459A"/>
    <w:rsid w:val="44FE459A"/>
    <w:rsid w:val="46004114"/>
    <w:rsid w:val="469D2CCA"/>
    <w:rsid w:val="47285F3F"/>
    <w:rsid w:val="477A5B14"/>
    <w:rsid w:val="48102E25"/>
    <w:rsid w:val="48376942"/>
    <w:rsid w:val="48752B3F"/>
    <w:rsid w:val="48DB4BFB"/>
    <w:rsid w:val="499B232F"/>
    <w:rsid w:val="49AB37D4"/>
    <w:rsid w:val="4A7531D6"/>
    <w:rsid w:val="4B165404"/>
    <w:rsid w:val="4B3F6DC9"/>
    <w:rsid w:val="4BA23901"/>
    <w:rsid w:val="4BB226CF"/>
    <w:rsid w:val="4CAF749A"/>
    <w:rsid w:val="4CDF6259"/>
    <w:rsid w:val="4D1D271C"/>
    <w:rsid w:val="4D29462F"/>
    <w:rsid w:val="4D816991"/>
    <w:rsid w:val="4F505DEA"/>
    <w:rsid w:val="4F732300"/>
    <w:rsid w:val="4F7468BD"/>
    <w:rsid w:val="4FAC4FDD"/>
    <w:rsid w:val="4FDA433C"/>
    <w:rsid w:val="4FEB1C3C"/>
    <w:rsid w:val="4FF30377"/>
    <w:rsid w:val="506F3094"/>
    <w:rsid w:val="50E1774A"/>
    <w:rsid w:val="50EB4750"/>
    <w:rsid w:val="5120099F"/>
    <w:rsid w:val="51DF2696"/>
    <w:rsid w:val="5272689E"/>
    <w:rsid w:val="52974D1F"/>
    <w:rsid w:val="53577B1A"/>
    <w:rsid w:val="539A0248"/>
    <w:rsid w:val="540B4978"/>
    <w:rsid w:val="541067D7"/>
    <w:rsid w:val="550448B0"/>
    <w:rsid w:val="55496A0F"/>
    <w:rsid w:val="55850499"/>
    <w:rsid w:val="55F41EB4"/>
    <w:rsid w:val="57ED1672"/>
    <w:rsid w:val="583A6878"/>
    <w:rsid w:val="58FB441B"/>
    <w:rsid w:val="595461AF"/>
    <w:rsid w:val="59631FEE"/>
    <w:rsid w:val="596439B2"/>
    <w:rsid w:val="5A63421E"/>
    <w:rsid w:val="5ACA62B5"/>
    <w:rsid w:val="5AD45511"/>
    <w:rsid w:val="5AF04D43"/>
    <w:rsid w:val="5BB12BF2"/>
    <w:rsid w:val="5C0022CD"/>
    <w:rsid w:val="5C006A47"/>
    <w:rsid w:val="5C8A4190"/>
    <w:rsid w:val="5CB87248"/>
    <w:rsid w:val="5CD44FEB"/>
    <w:rsid w:val="5D184CAE"/>
    <w:rsid w:val="5D963C63"/>
    <w:rsid w:val="5DBE7604"/>
    <w:rsid w:val="5E09758C"/>
    <w:rsid w:val="5E1A1B35"/>
    <w:rsid w:val="5ED163CC"/>
    <w:rsid w:val="5EF15762"/>
    <w:rsid w:val="605472D8"/>
    <w:rsid w:val="60681DE6"/>
    <w:rsid w:val="60AE3C5C"/>
    <w:rsid w:val="61A134C4"/>
    <w:rsid w:val="628E67D5"/>
    <w:rsid w:val="63227A39"/>
    <w:rsid w:val="6331362E"/>
    <w:rsid w:val="635A5109"/>
    <w:rsid w:val="636A54E7"/>
    <w:rsid w:val="64E64BB9"/>
    <w:rsid w:val="658E4A0B"/>
    <w:rsid w:val="65CC5CFA"/>
    <w:rsid w:val="668F6144"/>
    <w:rsid w:val="676C0174"/>
    <w:rsid w:val="678B3253"/>
    <w:rsid w:val="67A12167"/>
    <w:rsid w:val="69366FB6"/>
    <w:rsid w:val="69392234"/>
    <w:rsid w:val="69805CFC"/>
    <w:rsid w:val="6A357B03"/>
    <w:rsid w:val="6AA21219"/>
    <w:rsid w:val="6AE02E8A"/>
    <w:rsid w:val="6C58731C"/>
    <w:rsid w:val="6C7F4402"/>
    <w:rsid w:val="6D070820"/>
    <w:rsid w:val="6D3D10EF"/>
    <w:rsid w:val="6E9478B9"/>
    <w:rsid w:val="6F7C517B"/>
    <w:rsid w:val="70F47EB4"/>
    <w:rsid w:val="70F74E78"/>
    <w:rsid w:val="70FA6B7B"/>
    <w:rsid w:val="71B022EE"/>
    <w:rsid w:val="72184E0E"/>
    <w:rsid w:val="72184E79"/>
    <w:rsid w:val="72D509D3"/>
    <w:rsid w:val="72DC7494"/>
    <w:rsid w:val="735F6D3B"/>
    <w:rsid w:val="742529DB"/>
    <w:rsid w:val="75D44595"/>
    <w:rsid w:val="75E20A21"/>
    <w:rsid w:val="75EC2C69"/>
    <w:rsid w:val="76515A45"/>
    <w:rsid w:val="76D07E61"/>
    <w:rsid w:val="76E13C50"/>
    <w:rsid w:val="76E83563"/>
    <w:rsid w:val="76F94EB0"/>
    <w:rsid w:val="771E18A7"/>
    <w:rsid w:val="77440722"/>
    <w:rsid w:val="77543075"/>
    <w:rsid w:val="77581B01"/>
    <w:rsid w:val="7B0C0F79"/>
    <w:rsid w:val="7B332D7F"/>
    <w:rsid w:val="7CF6117F"/>
    <w:rsid w:val="7D390712"/>
    <w:rsid w:val="7D4D43F3"/>
    <w:rsid w:val="7E16443C"/>
    <w:rsid w:val="7EF22D57"/>
    <w:rsid w:val="7EFA31DC"/>
    <w:rsid w:val="7F836AAF"/>
    <w:rsid w:val="7FF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qFormat/>
    <w:uiPriority w:val="0"/>
    <w:rPr>
      <w:color w:val="444444"/>
      <w:u w:val="none"/>
    </w:rPr>
  </w:style>
  <w:style w:type="character" w:styleId="12">
    <w:name w:val="Emphasis"/>
    <w:basedOn w:val="9"/>
    <w:qFormat/>
    <w:uiPriority w:val="0"/>
    <w:rPr>
      <w:rFonts w:hint="eastAsia" w:ascii="微软雅黑" w:hAnsi="微软雅黑" w:eastAsia="微软雅黑" w:cs="微软雅黑"/>
    </w:rPr>
  </w:style>
  <w:style w:type="character" w:styleId="13">
    <w:name w:val="Hyperlink"/>
    <w:basedOn w:val="9"/>
    <w:qFormat/>
    <w:uiPriority w:val="0"/>
    <w:rPr>
      <w:color w:val="444444"/>
      <w:u w:val="none"/>
    </w:rPr>
  </w:style>
  <w:style w:type="character" w:customStyle="1" w:styleId="15">
    <w:name w:val="enter"/>
    <w:basedOn w:val="9"/>
    <w:qFormat/>
    <w:uiPriority w:val="0"/>
  </w:style>
  <w:style w:type="character" w:customStyle="1" w:styleId="16">
    <w:name w:val="realname"/>
    <w:basedOn w:val="9"/>
    <w:qFormat/>
    <w:uiPriority w:val="0"/>
  </w:style>
  <w:style w:type="character" w:customStyle="1" w:styleId="17">
    <w:name w:val="realname1"/>
    <w:basedOn w:val="9"/>
    <w:qFormat/>
    <w:uiPriority w:val="0"/>
  </w:style>
  <w:style w:type="character" w:customStyle="1" w:styleId="18">
    <w:name w:val="bwvip"/>
    <w:basedOn w:val="9"/>
    <w:qFormat/>
    <w:uiPriority w:val="0"/>
  </w:style>
  <w:style w:type="character" w:customStyle="1" w:styleId="19">
    <w:name w:val="vip"/>
    <w:basedOn w:val="9"/>
    <w:qFormat/>
    <w:uiPriority w:val="0"/>
  </w:style>
  <w:style w:type="character" w:customStyle="1" w:styleId="20">
    <w:name w:val="book"/>
    <w:basedOn w:val="9"/>
    <w:qFormat/>
    <w:uiPriority w:val="0"/>
  </w:style>
  <w:style w:type="character" w:customStyle="1" w:styleId="21">
    <w:name w:val="enter1"/>
    <w:basedOn w:val="9"/>
    <w:qFormat/>
    <w:uiPriority w:val="0"/>
  </w:style>
  <w:style w:type="paragraph" w:customStyle="1" w:styleId="22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3">
    <w:name w:val="font31"/>
    <w:basedOn w:val="9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4">
    <w:name w:val="font6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5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8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7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1937</Words>
  <Characters>2430</Characters>
  <Lines>0</Lines>
  <Paragraphs>0</Paragraphs>
  <TotalTime>16</TotalTime>
  <ScaleCrop>false</ScaleCrop>
  <LinksUpToDate>false</LinksUpToDate>
  <CharactersWithSpaces>2459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2022-10-28T10:20:06Z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8F174C172F3D4E179351CED9E42D6DA7</vt:lpwstr>
  </property>
</Properties>
</file>