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left="0" w:leftChars="0" w:firstLine="0" w:firstLineChars="0"/>
        <w:jc w:val="center"/>
        <w:outlineLvl w:val="0"/>
        <w:rPr>
          <w:rFonts w:hint="default" w:ascii="宋体" w:hAnsi="宋体" w:eastAsia="宋体" w:cs="Times New Roman"/>
          <w:b/>
          <w:kern w:val="10"/>
          <w:sz w:val="32"/>
          <w:szCs w:val="32"/>
          <w:lang w:val="en-US" w:eastAsia="zh-CN"/>
        </w:rPr>
      </w:pPr>
      <w:bookmarkStart w:id="0" w:name="_Toc23396"/>
      <w:r>
        <w:rPr>
          <w:rFonts w:hint="eastAsia" w:ascii="宋体" w:hAnsi="宋体" w:eastAsia="宋体" w:cs="Times New Roman"/>
          <w:b/>
          <w:kern w:val="10"/>
          <w:sz w:val="32"/>
          <w:szCs w:val="32"/>
          <w:lang w:val="en-US" w:eastAsia="zh-CN"/>
        </w:rPr>
        <w:t xml:space="preserve"> </w:t>
      </w:r>
      <w:r>
        <w:rPr>
          <w:rFonts w:hint="eastAsia" w:ascii="宋体" w:hAnsi="宋体" w:cs="Times New Roman"/>
          <w:b/>
          <w:kern w:val="10"/>
          <w:sz w:val="32"/>
          <w:szCs w:val="32"/>
          <w:lang w:val="en-US" w:eastAsia="zh-CN"/>
        </w:rPr>
        <w:t>（2023年）</w:t>
      </w:r>
      <w:r>
        <w:rPr>
          <w:rFonts w:hint="eastAsia" w:ascii="宋体" w:hAnsi="宋体" w:eastAsia="宋体" w:cs="Times New Roman"/>
          <w:b/>
          <w:kern w:val="10"/>
          <w:sz w:val="32"/>
          <w:szCs w:val="32"/>
          <w:lang w:val="en-US" w:eastAsia="zh-CN"/>
        </w:rPr>
        <w:t xml:space="preserve"> 铝电解用预焙阳极</w:t>
      </w:r>
      <w:bookmarkEnd w:id="0"/>
      <w:r>
        <w:rPr>
          <w:rFonts w:hint="eastAsia" w:ascii="宋体" w:hAnsi="宋体" w:cs="Times New Roman"/>
          <w:b/>
          <w:kern w:val="10"/>
          <w:sz w:val="32"/>
          <w:szCs w:val="32"/>
          <w:lang w:val="en-US" w:eastAsia="zh-CN"/>
        </w:rPr>
        <w:t>质量细则</w:t>
      </w:r>
    </w:p>
    <w:p>
      <w:pPr>
        <w:spacing w:before="156" w:beforeLines="50" w:after="156" w:afterLines="50" w:line="360" w:lineRule="auto"/>
        <w:outlineLvl w:val="1"/>
        <w:rPr>
          <w:rFonts w:hint="eastAsia" w:ascii="宋体" w:hAnsi="宋体" w:eastAsia="宋体" w:cs="Times New Roman"/>
          <w:b/>
          <w:kern w:val="10"/>
          <w:sz w:val="24"/>
          <w:lang w:val="en-US" w:eastAsia="zh-CN"/>
        </w:rPr>
      </w:pPr>
      <w:bookmarkStart w:id="1" w:name="_Toc6066"/>
      <w:r>
        <w:rPr>
          <w:rFonts w:hint="eastAsia" w:ascii="宋体" w:hAnsi="宋体" w:cs="Times New Roman"/>
          <w:b/>
          <w:kern w:val="10"/>
          <w:sz w:val="24"/>
          <w:lang w:val="en-US" w:eastAsia="zh-CN"/>
        </w:rPr>
        <w:t xml:space="preserve">1 </w:t>
      </w:r>
      <w:r>
        <w:rPr>
          <w:rFonts w:hint="eastAsia" w:ascii="宋体" w:hAnsi="宋体" w:eastAsia="宋体" w:cs="Times New Roman"/>
          <w:b/>
          <w:kern w:val="10"/>
          <w:sz w:val="24"/>
          <w:lang w:val="en-US" w:eastAsia="zh-CN"/>
        </w:rPr>
        <w:t>范围</w:t>
      </w:r>
      <w:bookmarkEnd w:id="1"/>
    </w:p>
    <w:p>
      <w:pPr>
        <w:spacing w:line="360" w:lineRule="auto"/>
        <w:ind w:firstLine="480" w:firstLineChars="200"/>
        <w:rPr>
          <w:rFonts w:hint="eastAsia" w:ascii="宋体" w:hAnsi="宋体" w:eastAsia="宋体" w:cs="Times New Roman"/>
          <w:kern w:val="10"/>
          <w:sz w:val="24"/>
          <w:lang w:val="en-US" w:eastAsia="zh-CN"/>
        </w:rPr>
      </w:pPr>
      <w:bookmarkStart w:id="2" w:name="_Toc4262"/>
      <w:r>
        <w:rPr>
          <w:rFonts w:hint="eastAsia" w:ascii="宋体" w:hAnsi="宋体" w:eastAsia="宋体" w:cs="Times New Roman"/>
          <w:kern w:val="10"/>
          <w:sz w:val="24"/>
          <w:lang w:val="en-US" w:eastAsia="zh-CN"/>
        </w:rPr>
        <w:t>本细则依据YS/T285—2012《铝电解用预焙阳极》标准，结合电解铝业务部实际生产运行情况编制，规定了预焙阳极的规格尺寸、外观质量</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理化性能、检验频次及取样方法等要求。适用于电解铝业务部下属各铝厂采购预焙阳极的质量检验及质量验证。</w:t>
      </w:r>
    </w:p>
    <w:p>
      <w:pPr>
        <w:spacing w:before="156" w:beforeLines="50" w:after="156" w:afterLines="50" w:line="360" w:lineRule="auto"/>
        <w:outlineLvl w:val="1"/>
        <w:rPr>
          <w:rFonts w:hint="eastAsia" w:eastAsia="宋体"/>
          <w:b/>
          <w:kern w:val="10"/>
          <w:sz w:val="24"/>
          <w:lang w:eastAsia="zh-CN"/>
        </w:rPr>
      </w:pPr>
      <w:r>
        <w:rPr>
          <w:rFonts w:hint="eastAsia" w:ascii="宋体" w:hAnsi="宋体" w:eastAsia="宋体" w:cs="Times New Roman"/>
          <w:b/>
          <w:kern w:val="10"/>
          <w:sz w:val="24"/>
          <w:lang w:val="en-US" w:eastAsia="zh-CN"/>
        </w:rPr>
        <w:t>2</w:t>
      </w:r>
      <w:r>
        <w:rPr>
          <w:rFonts w:hint="eastAsia"/>
          <w:b/>
          <w:kern w:val="10"/>
          <w:sz w:val="24"/>
          <w:lang w:val="en-US" w:eastAsia="zh-CN"/>
        </w:rPr>
        <w:t xml:space="preserve"> </w:t>
      </w:r>
      <w:r>
        <w:rPr>
          <w:rFonts w:hint="eastAsia"/>
          <w:b/>
          <w:kern w:val="10"/>
          <w:sz w:val="24"/>
        </w:rPr>
        <w:t>预焙阳极的规格</w:t>
      </w:r>
      <w:bookmarkEnd w:id="2"/>
      <w:r>
        <w:rPr>
          <w:rFonts w:hint="eastAsia"/>
          <w:b/>
          <w:kern w:val="10"/>
          <w:sz w:val="24"/>
          <w:lang w:eastAsia="zh-CN"/>
        </w:rPr>
        <w:t>尺寸</w:t>
      </w:r>
    </w:p>
    <w:p>
      <w:pPr>
        <w:pStyle w:val="2"/>
        <w:numPr>
          <w:ilvl w:val="0"/>
          <w:numId w:val="0"/>
        </w:numPr>
        <w:ind w:leftChars="0"/>
        <w:rPr>
          <w:rFonts w:hint="eastAsia"/>
          <w:lang w:val="en-US" w:eastAsia="zh-CN"/>
        </w:rPr>
      </w:pPr>
      <w:r>
        <w:rPr>
          <w:rFonts w:hint="eastAsia" w:ascii="宋体" w:hAnsi="宋体" w:eastAsia="宋体" w:cs="Times New Roman"/>
          <w:b w:val="0"/>
          <w:bCs/>
          <w:color w:val="auto"/>
          <w:kern w:val="10"/>
          <w:sz w:val="24"/>
          <w:szCs w:val="24"/>
          <w:lang w:val="en-US" w:eastAsia="zh-CN" w:bidi="ar-SA"/>
        </w:rPr>
        <w:t>2.1</w:t>
      </w:r>
      <w:r>
        <w:rPr>
          <w:rFonts w:hint="eastAsia"/>
          <w:lang w:val="en-US" w:eastAsia="zh-CN"/>
        </w:rPr>
        <w:t xml:space="preserve"> 预焙阳极的规格尺寸以供需双方协商确定的设计图纸为准。</w:t>
      </w:r>
    </w:p>
    <w:p>
      <w:pPr>
        <w:spacing w:line="360" w:lineRule="auto"/>
        <w:rPr>
          <w:rFonts w:hint="eastAsia" w:ascii="宋体" w:hAnsi="宋体" w:eastAsia="宋体" w:cs="Times New Roman"/>
          <w:kern w:val="10"/>
          <w:sz w:val="24"/>
          <w:lang w:eastAsia="zh-CN"/>
        </w:rPr>
      </w:pPr>
      <w:r>
        <w:rPr>
          <w:rFonts w:hint="eastAsia" w:ascii="宋体" w:hAnsi="宋体" w:cs="Times New Roman"/>
          <w:b w:val="0"/>
          <w:bCs/>
          <w:kern w:val="10"/>
          <w:sz w:val="24"/>
          <w:lang w:val="en-US" w:eastAsia="zh-CN"/>
        </w:rPr>
        <w:t>2.</w:t>
      </w:r>
      <w:r>
        <w:rPr>
          <w:rFonts w:hint="eastAsia" w:ascii="宋体" w:hAnsi="宋体" w:eastAsia="宋体" w:cs="Times New Roman"/>
          <w:b w:val="0"/>
          <w:bCs/>
          <w:kern w:val="10"/>
          <w:sz w:val="24"/>
          <w:lang w:val="en-US" w:eastAsia="zh-CN"/>
        </w:rPr>
        <w:t>2</w:t>
      </w:r>
      <w:r>
        <w:rPr>
          <w:rFonts w:hint="eastAsia" w:ascii="宋体" w:hAnsi="宋体" w:eastAsia="宋体" w:cs="Times New Roman"/>
          <w:kern w:val="10"/>
          <w:sz w:val="24"/>
        </w:rPr>
        <w:t>预焙阳极长</w:t>
      </w:r>
      <w:r>
        <w:rPr>
          <w:rFonts w:hint="eastAsia"/>
          <w:kern w:val="10"/>
          <w:sz w:val="24"/>
        </w:rPr>
        <w:t>度</w:t>
      </w:r>
      <w:r>
        <w:rPr>
          <w:rFonts w:hint="eastAsia"/>
          <w:kern w:val="10"/>
          <w:sz w:val="24"/>
          <w:lang w:eastAsia="zh-CN"/>
        </w:rPr>
        <w:t>、</w:t>
      </w:r>
      <w:r>
        <w:rPr>
          <w:rFonts w:hint="eastAsia"/>
          <w:kern w:val="10"/>
          <w:sz w:val="24"/>
        </w:rPr>
        <w:t>宽度</w:t>
      </w:r>
      <w:r>
        <w:rPr>
          <w:rFonts w:hint="eastAsia"/>
          <w:kern w:val="10"/>
          <w:sz w:val="24"/>
          <w:lang w:eastAsia="zh-CN"/>
        </w:rPr>
        <w:t>、</w:t>
      </w:r>
      <w:r>
        <w:rPr>
          <w:rFonts w:hint="eastAsia"/>
          <w:kern w:val="10"/>
          <w:sz w:val="24"/>
        </w:rPr>
        <w:t>高度</w:t>
      </w:r>
      <w:r>
        <w:rPr>
          <w:rFonts w:hint="eastAsia"/>
          <w:kern w:val="10"/>
          <w:sz w:val="24"/>
          <w:lang w:eastAsia="zh-CN"/>
        </w:rPr>
        <w:t>及其它</w:t>
      </w:r>
      <w:r>
        <w:rPr>
          <w:rFonts w:hint="eastAsia" w:ascii="宋体" w:hAnsi="宋体" w:eastAsia="宋体" w:cs="Times New Roman"/>
          <w:kern w:val="10"/>
          <w:sz w:val="24"/>
        </w:rPr>
        <w:t>尺寸偏差</w:t>
      </w:r>
      <w:r>
        <w:rPr>
          <w:rFonts w:hint="eastAsia" w:ascii="宋体" w:hAnsi="宋体" w:eastAsia="宋体" w:cs="Times New Roman"/>
          <w:kern w:val="10"/>
          <w:sz w:val="24"/>
          <w:lang w:eastAsia="zh-CN"/>
        </w:rPr>
        <w:t>必须符合图纸设计允许偏差范围。</w:t>
      </w:r>
    </w:p>
    <w:p>
      <w:pPr>
        <w:pStyle w:val="2"/>
        <w:numPr>
          <w:ilvl w:val="0"/>
          <w:numId w:val="0"/>
        </w:numPr>
        <w:ind w:leftChars="0"/>
        <w:rPr>
          <w:rFonts w:hint="eastAsia" w:ascii="宋体" w:hAnsi="宋体" w:eastAsia="宋体" w:cs="Times New Roman"/>
          <w:b w:val="0"/>
          <w:bCs/>
          <w:color w:val="auto"/>
          <w:kern w:val="10"/>
          <w:sz w:val="24"/>
          <w:szCs w:val="24"/>
          <w:lang w:val="en-US" w:eastAsia="zh-CN" w:bidi="ar-SA"/>
        </w:rPr>
      </w:pPr>
      <w:r>
        <w:rPr>
          <w:rFonts w:hint="eastAsia" w:ascii="宋体" w:hAnsi="宋体" w:eastAsia="宋体" w:cs="Times New Roman"/>
          <w:b w:val="0"/>
          <w:bCs/>
          <w:color w:val="auto"/>
          <w:kern w:val="10"/>
          <w:sz w:val="24"/>
          <w:szCs w:val="24"/>
          <w:lang w:val="en-US" w:eastAsia="zh-CN" w:bidi="ar-SA"/>
        </w:rPr>
        <w:t>2.3 预焙阳极不直度，不大于长度的1%。</w:t>
      </w:r>
    </w:p>
    <w:p>
      <w:pPr>
        <w:spacing w:before="156" w:beforeLines="50" w:after="156" w:afterLines="50" w:line="360" w:lineRule="auto"/>
        <w:outlineLvl w:val="1"/>
        <w:rPr>
          <w:rFonts w:hint="eastAsia"/>
          <w:b/>
          <w:color w:val="auto"/>
          <w:kern w:val="10"/>
          <w:sz w:val="24"/>
          <w:lang w:eastAsia="zh-CN"/>
        </w:rPr>
      </w:pPr>
      <w:bookmarkStart w:id="3" w:name="_Toc27933"/>
      <w:r>
        <w:rPr>
          <w:rFonts w:hint="eastAsia" w:ascii="宋体" w:hAnsi="宋体" w:cs="Times New Roman"/>
          <w:b/>
          <w:color w:val="auto"/>
          <w:kern w:val="10"/>
          <w:sz w:val="24"/>
          <w:lang w:val="en-US" w:eastAsia="zh-CN"/>
        </w:rPr>
        <w:t>3</w:t>
      </w:r>
      <w:r>
        <w:rPr>
          <w:rFonts w:hint="eastAsia"/>
          <w:b/>
          <w:color w:val="auto"/>
          <w:kern w:val="10"/>
          <w:sz w:val="24"/>
          <w:lang w:val="en-US" w:eastAsia="zh-CN"/>
        </w:rPr>
        <w:t xml:space="preserve"> </w:t>
      </w:r>
      <w:r>
        <w:rPr>
          <w:rFonts w:hint="eastAsia"/>
          <w:b/>
          <w:color w:val="auto"/>
          <w:kern w:val="10"/>
          <w:sz w:val="24"/>
        </w:rPr>
        <w:t>预焙阳极</w:t>
      </w:r>
      <w:r>
        <w:rPr>
          <w:rFonts w:hint="eastAsia"/>
          <w:b/>
          <w:color w:val="auto"/>
          <w:kern w:val="10"/>
          <w:sz w:val="24"/>
          <w:lang w:eastAsia="zh-CN"/>
        </w:rPr>
        <w:t>重量要求</w:t>
      </w:r>
    </w:p>
    <w:p>
      <w:pPr>
        <w:spacing w:before="156" w:beforeLines="50" w:after="156" w:afterLines="50" w:line="360" w:lineRule="auto"/>
        <w:ind w:firstLine="480" w:firstLineChars="200"/>
        <w:outlineLvl w:val="1"/>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 xml:space="preserve">预焙阳极单块重量偏差必须符合以下要求： </w:t>
      </w:r>
    </w:p>
    <w:p>
      <w:pPr>
        <w:spacing w:line="360" w:lineRule="auto"/>
        <w:ind w:firstLine="480" w:firstLineChars="200"/>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田阳铝厂阳极单块重量：</w:t>
      </w:r>
      <w:r>
        <w:rPr>
          <w:rFonts w:hint="eastAsia" w:ascii="宋体" w:hAnsi="宋体" w:cs="Times New Roman"/>
          <w:kern w:val="10"/>
          <w:sz w:val="24"/>
          <w:lang w:val="en-US" w:eastAsia="zh-CN"/>
        </w:rPr>
        <w:t>XXX</w:t>
      </w:r>
      <w:r>
        <w:rPr>
          <w:rFonts w:hint="eastAsia" w:ascii="宋体" w:hAnsi="宋体" w:eastAsia="宋体" w:cs="Times New Roman"/>
          <w:kern w:val="10"/>
          <w:sz w:val="24"/>
          <w:lang w:val="en-US" w:eastAsia="zh-CN"/>
        </w:rPr>
        <w:t>吨/块(±1%)；德保铝厂阳极单块重量：</w:t>
      </w:r>
      <w:r>
        <w:rPr>
          <w:rFonts w:hint="eastAsia" w:ascii="宋体" w:hAnsi="宋体" w:cs="Times New Roman"/>
          <w:kern w:val="10"/>
          <w:sz w:val="24"/>
          <w:lang w:val="en-US" w:eastAsia="zh-CN"/>
        </w:rPr>
        <w:t>XXX</w:t>
      </w:r>
      <w:r>
        <w:rPr>
          <w:rFonts w:hint="eastAsia" w:ascii="宋体" w:hAnsi="宋体" w:eastAsia="宋体" w:cs="Times New Roman"/>
          <w:kern w:val="10"/>
          <w:sz w:val="24"/>
          <w:lang w:val="en-US" w:eastAsia="zh-CN"/>
        </w:rPr>
        <w:t>吨/块(±1%)；田林铝厂阳极单块重量：</w:t>
      </w:r>
      <w:r>
        <w:rPr>
          <w:rFonts w:hint="eastAsia" w:ascii="宋体" w:hAnsi="宋体" w:cs="Times New Roman"/>
          <w:kern w:val="10"/>
          <w:sz w:val="24"/>
          <w:lang w:val="en-US" w:eastAsia="zh-CN"/>
        </w:rPr>
        <w:t>XXX</w:t>
      </w:r>
      <w:r>
        <w:rPr>
          <w:rFonts w:hint="eastAsia" w:ascii="宋体" w:hAnsi="宋体" w:eastAsia="宋体" w:cs="Times New Roman"/>
          <w:kern w:val="10"/>
          <w:sz w:val="24"/>
          <w:lang w:val="en-US" w:eastAsia="zh-CN"/>
        </w:rPr>
        <w:t>吨/块(±1%)；隆林铝厂阳极单块重量：</w:t>
      </w:r>
      <w:r>
        <w:rPr>
          <w:rFonts w:hint="eastAsia" w:ascii="宋体" w:hAnsi="宋体" w:cs="Times New Roman"/>
          <w:kern w:val="10"/>
          <w:sz w:val="24"/>
          <w:lang w:val="en-US" w:eastAsia="zh-CN"/>
        </w:rPr>
        <w:t>XXX</w:t>
      </w:r>
      <w:r>
        <w:rPr>
          <w:rFonts w:hint="eastAsia" w:ascii="宋体" w:hAnsi="宋体" w:eastAsia="宋体" w:cs="Times New Roman"/>
          <w:kern w:val="10"/>
          <w:sz w:val="24"/>
          <w:lang w:val="en-US" w:eastAsia="zh-CN"/>
        </w:rPr>
        <w:t>吨/块(±1%)。</w:t>
      </w:r>
    </w:p>
    <w:p>
      <w:pPr>
        <w:pStyle w:val="2"/>
        <w:ind w:firstLine="480" w:firstLineChars="200"/>
        <w:rPr>
          <w:rFonts w:hint="eastAsia"/>
          <w:b w:val="0"/>
          <w:bCs/>
          <w:color w:val="FF0000"/>
          <w:kern w:val="10"/>
          <w:sz w:val="24"/>
          <w:lang w:val="en-US" w:eastAsia="zh-CN"/>
        </w:rPr>
      </w:pPr>
      <w:r>
        <w:rPr>
          <w:rFonts w:hint="eastAsia"/>
          <w:b w:val="0"/>
          <w:bCs/>
          <w:color w:val="FF0000"/>
          <w:kern w:val="10"/>
          <w:sz w:val="24"/>
          <w:lang w:val="en-US" w:eastAsia="zh-CN"/>
        </w:rPr>
        <w:t>注：以上为2022年图纸要求重量，最终以2023年版最终图纸及定为准。</w:t>
      </w:r>
    </w:p>
    <w:p>
      <w:pPr>
        <w:spacing w:before="156" w:beforeLines="50" w:after="156" w:afterLines="50" w:line="360" w:lineRule="auto"/>
        <w:jc w:val="left"/>
        <w:outlineLvl w:val="1"/>
        <w:rPr>
          <w:rFonts w:hint="eastAsia"/>
          <w:b/>
          <w:kern w:val="10"/>
          <w:sz w:val="24"/>
        </w:rPr>
      </w:pPr>
      <w:r>
        <w:rPr>
          <w:rFonts w:hint="eastAsia" w:ascii="宋体" w:hAnsi="宋体" w:cs="Times New Roman"/>
          <w:b/>
          <w:kern w:val="10"/>
          <w:sz w:val="24"/>
          <w:lang w:val="en-US" w:eastAsia="zh-CN"/>
        </w:rPr>
        <w:t>4</w:t>
      </w:r>
      <w:r>
        <w:rPr>
          <w:rFonts w:hint="eastAsia"/>
          <w:b/>
          <w:kern w:val="10"/>
          <w:sz w:val="24"/>
          <w:lang w:val="en-US" w:eastAsia="zh-CN"/>
        </w:rPr>
        <w:t xml:space="preserve"> </w:t>
      </w:r>
      <w:r>
        <w:rPr>
          <w:rFonts w:hint="eastAsia"/>
          <w:b/>
          <w:kern w:val="10"/>
          <w:sz w:val="24"/>
        </w:rPr>
        <w:t>理化性能</w:t>
      </w:r>
    </w:p>
    <w:p>
      <w:pPr>
        <w:pStyle w:val="9"/>
        <w:keepNext w:val="0"/>
        <w:keepLines w:val="0"/>
        <w:pageBreakBefore w:val="0"/>
        <w:widowControl w:val="0"/>
        <w:kinsoku/>
        <w:wordWrap/>
        <w:overflowPunct/>
        <w:topLinePunct w:val="0"/>
        <w:autoSpaceDE/>
        <w:autoSpaceDN/>
        <w:bidi w:val="0"/>
        <w:adjustRightInd/>
        <w:snapToGrid/>
        <w:spacing w:before="93" w:after="93" w:line="490" w:lineRule="exact"/>
        <w:ind w:firstLine="480" w:firstLineChars="200"/>
        <w:textAlignment w:val="auto"/>
        <w:rPr>
          <w:rFonts w:hint="default" w:ascii="宋体" w:hAnsi="宋体" w:eastAsia="宋体" w:cs="Times New Roman"/>
          <w:kern w:val="10"/>
          <w:sz w:val="24"/>
          <w:lang w:val="en-US" w:eastAsia="zh-CN"/>
        </w:rPr>
      </w:pPr>
      <w:r>
        <w:rPr>
          <w:rFonts w:hint="eastAsia" w:ascii="宋体" w:hAnsi="宋体" w:cs="Times New Roman"/>
          <w:kern w:val="10"/>
          <w:sz w:val="24"/>
          <w:lang w:val="en-US" w:eastAsia="zh-CN"/>
        </w:rPr>
        <w:t>4</w:t>
      </w:r>
      <w:r>
        <w:rPr>
          <w:rFonts w:hint="eastAsia" w:ascii="宋体" w:hAnsi="宋体" w:eastAsia="宋体" w:cs="Times New Roman"/>
          <w:kern w:val="10"/>
          <w:sz w:val="24"/>
          <w:lang w:val="en-US" w:eastAsia="zh-CN"/>
        </w:rPr>
        <w:t>.1 预焙阳极的理化性能指标应符合YS/T 285-2012 《铝电解用预焙阳极》规定要求，其中一级品率要求</w:t>
      </w:r>
      <w:r>
        <w:rPr>
          <w:rFonts w:hint="default" w:ascii="宋体" w:hAnsi="宋体" w:eastAsia="宋体" w:cs="Times New Roman"/>
          <w:kern w:val="10"/>
          <w:sz w:val="24"/>
          <w:lang w:val="en-US" w:eastAsia="zh-CN"/>
        </w:rPr>
        <w:t>≥</w:t>
      </w:r>
      <w:r>
        <w:rPr>
          <w:rFonts w:hint="eastAsia" w:ascii="宋体" w:hAnsi="宋体" w:eastAsia="宋体" w:cs="Times New Roman"/>
          <w:kern w:val="10"/>
          <w:sz w:val="24"/>
          <w:lang w:val="en-US" w:eastAsia="zh-CN"/>
        </w:rPr>
        <w:t>60%，二级品率100%。每个结算周期内一级品率未达到60%的，按该结算周期一级品率未达到要求的部分扣款100元/吨；一级品率≥80%时，理化指标达到二级品率的部分不予考核；一级品率≥90%时，达到一级品的部分</w:t>
      </w:r>
      <w:r>
        <w:rPr>
          <w:rFonts w:hint="eastAsia" w:ascii="宋体" w:hAnsi="宋体" w:eastAsia="宋体" w:cs="Times New Roman"/>
          <w:b/>
          <w:bCs/>
          <w:kern w:val="10"/>
          <w:sz w:val="24"/>
          <w:lang w:val="en-US" w:eastAsia="zh-CN"/>
        </w:rPr>
        <w:t>奖励50元/吨</w:t>
      </w:r>
      <w:r>
        <w:rPr>
          <w:rFonts w:hint="eastAsia" w:ascii="宋体" w:hAnsi="宋体" w:eastAsia="宋体" w:cs="Times New Roman"/>
          <w:kern w:val="10"/>
          <w:sz w:val="24"/>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93" w:after="93" w:line="490" w:lineRule="exact"/>
        <w:ind w:firstLine="480" w:firstLineChars="200"/>
        <w:textAlignment w:val="auto"/>
        <w:rPr>
          <w:rFonts w:hint="eastAsia" w:ascii="宋体" w:hAnsi="宋体" w:eastAsia="宋体" w:cs="Times New Roman"/>
          <w:kern w:val="10"/>
          <w:sz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93" w:after="93" w:line="490" w:lineRule="exact"/>
        <w:ind w:firstLine="480" w:firstLineChars="200"/>
        <w:textAlignment w:val="auto"/>
        <w:rPr>
          <w:rFonts w:hint="eastAsia" w:ascii="宋体" w:hAnsi="宋体" w:eastAsia="宋体" w:cs="Times New Roman"/>
          <w:kern w:val="10"/>
          <w:sz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93" w:after="93" w:line="490" w:lineRule="exact"/>
        <w:ind w:firstLine="480" w:firstLineChars="200"/>
        <w:textAlignment w:val="auto"/>
        <w:rPr>
          <w:rFonts w:hint="default" w:ascii="宋体" w:hAnsi="宋体" w:eastAsia="宋体" w:cs="Times New Roman"/>
          <w:kern w:val="10"/>
          <w:sz w:val="24"/>
          <w:lang w:val="en-US" w:eastAsia="zh-CN"/>
        </w:rPr>
      </w:pPr>
    </w:p>
    <w:p>
      <w:pPr>
        <w:spacing w:line="360" w:lineRule="auto"/>
        <w:ind w:firstLine="480" w:firstLineChars="200"/>
        <w:rPr>
          <w:rFonts w:hint="eastAsia" w:ascii="宋体" w:hAnsi="宋体" w:eastAsia="宋体" w:cs="Times New Roman"/>
          <w:color w:val="FF0000"/>
          <w:kern w:val="10"/>
          <w:sz w:val="24"/>
          <w:lang w:val="en-US" w:eastAsia="zh-CN"/>
        </w:rPr>
      </w:pPr>
    </w:p>
    <w:tbl>
      <w:tblPr>
        <w:tblStyle w:val="7"/>
        <w:tblW w:w="977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03"/>
        <w:gridCol w:w="959"/>
        <w:gridCol w:w="1040"/>
        <w:gridCol w:w="1157"/>
        <w:gridCol w:w="1032"/>
        <w:gridCol w:w="1215"/>
        <w:gridCol w:w="122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vMerge w:val="restart"/>
            <w:noWrap w:val="0"/>
            <w:vAlign w:val="top"/>
          </w:tcPr>
          <w:p>
            <w:pPr>
              <w:jc w:val="center"/>
              <w:rPr>
                <w:rFonts w:hint="eastAsia"/>
                <w:b/>
                <w:bCs/>
                <w:kern w:val="10"/>
                <w:sz w:val="18"/>
                <w:szCs w:val="18"/>
              </w:rPr>
            </w:pPr>
          </w:p>
          <w:p>
            <w:pPr>
              <w:jc w:val="center"/>
              <w:rPr>
                <w:rFonts w:hint="eastAsia"/>
                <w:b/>
                <w:bCs/>
                <w:kern w:val="10"/>
                <w:sz w:val="18"/>
                <w:szCs w:val="18"/>
              </w:rPr>
            </w:pPr>
          </w:p>
          <w:p>
            <w:pPr>
              <w:jc w:val="center"/>
              <w:rPr>
                <w:rFonts w:hint="eastAsia"/>
                <w:b/>
                <w:bCs/>
                <w:kern w:val="10"/>
                <w:sz w:val="18"/>
                <w:szCs w:val="18"/>
              </w:rPr>
            </w:pPr>
            <w:r>
              <w:rPr>
                <w:rFonts w:hint="eastAsia"/>
                <w:b/>
                <w:bCs/>
                <w:kern w:val="10"/>
                <w:sz w:val="18"/>
                <w:szCs w:val="18"/>
              </w:rPr>
              <w:t>牌号</w:t>
            </w:r>
          </w:p>
        </w:tc>
        <w:tc>
          <w:tcPr>
            <w:tcW w:w="8616" w:type="dxa"/>
            <w:gridSpan w:val="8"/>
            <w:noWrap w:val="0"/>
            <w:vAlign w:val="top"/>
          </w:tcPr>
          <w:p>
            <w:pPr>
              <w:spacing w:line="360" w:lineRule="auto"/>
              <w:jc w:val="center"/>
              <w:rPr>
                <w:rFonts w:hint="eastAsia"/>
                <w:b/>
                <w:bCs/>
                <w:kern w:val="10"/>
                <w:sz w:val="18"/>
                <w:szCs w:val="18"/>
              </w:rPr>
            </w:pPr>
            <w:r>
              <w:rPr>
                <w:rFonts w:hint="eastAsia"/>
                <w:b/>
                <w:bCs/>
                <w:kern w:val="10"/>
                <w:sz w:val="18"/>
                <w:szCs w:val="18"/>
              </w:rPr>
              <w:t>理化性能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54" w:type="dxa"/>
            <w:vMerge w:val="continue"/>
            <w:noWrap w:val="0"/>
            <w:vAlign w:val="top"/>
          </w:tcPr>
          <w:p>
            <w:pPr>
              <w:spacing w:line="360" w:lineRule="auto"/>
              <w:jc w:val="left"/>
              <w:rPr>
                <w:rFonts w:hint="eastAsia"/>
                <w:b/>
                <w:bCs/>
                <w:kern w:val="10"/>
                <w:sz w:val="18"/>
                <w:szCs w:val="18"/>
              </w:rPr>
            </w:pPr>
          </w:p>
        </w:tc>
        <w:tc>
          <w:tcPr>
            <w:tcW w:w="100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表观密度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（g/cm</w:t>
            </w:r>
            <w:r>
              <w:rPr>
                <w:rFonts w:hint="eastAsia"/>
                <w:b/>
                <w:bCs/>
                <w:kern w:val="10"/>
                <w:sz w:val="18"/>
                <w:szCs w:val="18"/>
                <w:vertAlign w:val="superscript"/>
              </w:rPr>
              <w:t>3</w:t>
            </w:r>
            <w:r>
              <w:rPr>
                <w:rFonts w:hint="eastAsia"/>
                <w:b/>
                <w:bCs/>
                <w:kern w:val="10"/>
                <w:sz w:val="18"/>
                <w:szCs w:val="18"/>
              </w:rPr>
              <w:t>）</w:t>
            </w:r>
          </w:p>
        </w:tc>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真密度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（g/cm</w:t>
            </w:r>
            <w:r>
              <w:rPr>
                <w:rFonts w:hint="eastAsia"/>
                <w:b/>
                <w:bCs/>
                <w:kern w:val="10"/>
                <w:sz w:val="18"/>
                <w:szCs w:val="18"/>
                <w:vertAlign w:val="superscript"/>
              </w:rPr>
              <w:t>3</w:t>
            </w:r>
            <w:r>
              <w:rPr>
                <w:rFonts w:hint="eastAsia"/>
                <w:b/>
                <w:bCs/>
                <w:kern w:val="10"/>
                <w:sz w:val="18"/>
                <w:szCs w:val="18"/>
              </w:rPr>
              <w:t>）</w:t>
            </w:r>
          </w:p>
        </w:tc>
        <w:tc>
          <w:tcPr>
            <w:tcW w:w="104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耐压强度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Mpa</w:t>
            </w:r>
          </w:p>
        </w:tc>
        <w:tc>
          <w:tcPr>
            <w:tcW w:w="115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CO</w:t>
            </w:r>
            <w:r>
              <w:rPr>
                <w:rFonts w:hint="eastAsia"/>
                <w:b/>
                <w:bCs/>
                <w:kern w:val="10"/>
                <w:sz w:val="18"/>
                <w:szCs w:val="18"/>
                <w:vertAlign w:val="subscript"/>
              </w:rPr>
              <w:t>2</w:t>
            </w:r>
            <w:r>
              <w:rPr>
                <w:rFonts w:hint="eastAsia"/>
                <w:b/>
                <w:bCs/>
                <w:kern w:val="10"/>
                <w:sz w:val="18"/>
                <w:szCs w:val="18"/>
              </w:rPr>
              <w:t>反应性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（残极率）/%</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抗折强度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Mpa</w:t>
            </w:r>
          </w:p>
        </w:tc>
        <w:tc>
          <w:tcPr>
            <w:tcW w:w="121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室温电阻率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μΩ·m</w:t>
            </w:r>
          </w:p>
        </w:tc>
        <w:tc>
          <w:tcPr>
            <w:tcW w:w="12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热膨胀系数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kern w:val="10"/>
                <w:sz w:val="18"/>
                <w:szCs w:val="18"/>
              </w:rPr>
            </w:pPr>
            <w:r>
              <w:rPr>
                <w:rFonts w:hint="eastAsia"/>
                <w:b/>
                <w:bCs/>
                <w:kern w:val="10"/>
                <w:sz w:val="18"/>
                <w:szCs w:val="18"/>
              </w:rPr>
              <w:t>（10</w:t>
            </w:r>
            <w:r>
              <w:rPr>
                <w:rFonts w:hint="eastAsia"/>
                <w:b/>
                <w:bCs/>
                <w:kern w:val="10"/>
                <w:sz w:val="18"/>
                <w:szCs w:val="18"/>
                <w:vertAlign w:val="superscript"/>
              </w:rPr>
              <w:t>-6</w:t>
            </w:r>
            <w:r>
              <w:rPr>
                <w:rFonts w:hint="eastAsia"/>
                <w:b/>
                <w:bCs/>
                <w:kern w:val="10"/>
                <w:sz w:val="18"/>
                <w:szCs w:val="18"/>
              </w:rPr>
              <w:t>/K）</w:t>
            </w:r>
          </w:p>
        </w:tc>
        <w:tc>
          <w:tcPr>
            <w:tcW w:w="98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b/>
                <w:bCs/>
                <w:kern w:val="10"/>
                <w:sz w:val="18"/>
                <w:szCs w:val="18"/>
              </w:rPr>
            </w:pPr>
            <w:r>
              <w:rPr>
                <w:rFonts w:hint="eastAsia"/>
                <w:b/>
                <w:bCs/>
                <w:kern w:val="10"/>
                <w:sz w:val="18"/>
                <w:szCs w:val="18"/>
              </w:rPr>
              <w:t>灰分含量</w:t>
            </w:r>
          </w:p>
          <w:p>
            <w:pPr>
              <w:keepNext w:val="0"/>
              <w:keepLines w:val="0"/>
              <w:pageBreakBefore w:val="0"/>
              <w:widowControl w:val="0"/>
              <w:kinsoku/>
              <w:wordWrap/>
              <w:overflowPunct/>
              <w:topLinePunct w:val="0"/>
              <w:autoSpaceDE/>
              <w:autoSpaceDN/>
              <w:bidi w:val="0"/>
              <w:adjustRightInd/>
              <w:snapToGrid/>
              <w:spacing w:line="240" w:lineRule="exact"/>
              <w:ind w:firstLine="361" w:firstLineChars="200"/>
              <w:jc w:val="left"/>
              <w:textAlignment w:val="auto"/>
              <w:rPr>
                <w:rFonts w:hint="eastAsia"/>
                <w:b/>
                <w:bCs/>
                <w:kern w:val="10"/>
                <w:sz w:val="18"/>
                <w:szCs w:val="18"/>
              </w:rPr>
            </w:pPr>
            <w:r>
              <w:rPr>
                <w:rFonts w:hint="eastAsia"/>
                <w:b/>
                <w:bCs/>
                <w:kern w:val="1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54" w:type="dxa"/>
            <w:vMerge w:val="continue"/>
            <w:noWrap w:val="0"/>
            <w:vAlign w:val="top"/>
          </w:tcPr>
          <w:p>
            <w:pPr>
              <w:spacing w:line="360" w:lineRule="auto"/>
              <w:jc w:val="left"/>
              <w:rPr>
                <w:rFonts w:hint="eastAsia"/>
                <w:b/>
                <w:bCs/>
                <w:kern w:val="10"/>
                <w:sz w:val="18"/>
                <w:szCs w:val="18"/>
              </w:rPr>
            </w:pPr>
          </w:p>
        </w:tc>
        <w:tc>
          <w:tcPr>
            <w:tcW w:w="5191" w:type="dxa"/>
            <w:gridSpan w:val="5"/>
            <w:noWrap w:val="0"/>
            <w:vAlign w:val="top"/>
          </w:tcPr>
          <w:p>
            <w:pPr>
              <w:spacing w:line="360" w:lineRule="auto"/>
              <w:jc w:val="center"/>
              <w:rPr>
                <w:rFonts w:hint="eastAsia"/>
                <w:b/>
                <w:bCs/>
                <w:kern w:val="10"/>
                <w:sz w:val="18"/>
                <w:szCs w:val="18"/>
              </w:rPr>
            </w:pPr>
            <w:r>
              <w:rPr>
                <w:rFonts w:hint="eastAsia"/>
                <w:b/>
                <w:bCs/>
                <w:kern w:val="10"/>
                <w:sz w:val="18"/>
                <w:szCs w:val="18"/>
              </w:rPr>
              <w:t>不小于</w:t>
            </w:r>
          </w:p>
        </w:tc>
        <w:tc>
          <w:tcPr>
            <w:tcW w:w="3425" w:type="dxa"/>
            <w:gridSpan w:val="3"/>
            <w:noWrap w:val="0"/>
            <w:vAlign w:val="top"/>
          </w:tcPr>
          <w:p>
            <w:pPr>
              <w:spacing w:line="360" w:lineRule="auto"/>
              <w:jc w:val="center"/>
              <w:rPr>
                <w:rFonts w:hint="eastAsia"/>
                <w:b/>
                <w:bCs/>
                <w:kern w:val="10"/>
                <w:sz w:val="18"/>
                <w:szCs w:val="18"/>
              </w:rPr>
            </w:pPr>
            <w:r>
              <w:rPr>
                <w:rFonts w:hint="eastAsia"/>
                <w:b/>
                <w:bCs/>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TY-1</w:t>
            </w:r>
          </w:p>
        </w:tc>
        <w:tc>
          <w:tcPr>
            <w:tcW w:w="1003"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1.55</w:t>
            </w:r>
          </w:p>
        </w:tc>
        <w:tc>
          <w:tcPr>
            <w:tcW w:w="959"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2.04</w:t>
            </w:r>
          </w:p>
        </w:tc>
        <w:tc>
          <w:tcPr>
            <w:tcW w:w="1040"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35.0</w:t>
            </w:r>
          </w:p>
        </w:tc>
        <w:tc>
          <w:tcPr>
            <w:tcW w:w="1157" w:type="dxa"/>
            <w:noWrap w:val="0"/>
            <w:vAlign w:val="center"/>
          </w:tcPr>
          <w:p>
            <w:pPr>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83.0</w:t>
            </w:r>
          </w:p>
        </w:tc>
        <w:tc>
          <w:tcPr>
            <w:tcW w:w="1032" w:type="dxa"/>
            <w:vMerge w:val="restart"/>
            <w:noWrap w:val="0"/>
            <w:vAlign w:val="center"/>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8</w:t>
            </w:r>
          </w:p>
        </w:tc>
        <w:tc>
          <w:tcPr>
            <w:tcW w:w="1215"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57</w:t>
            </w:r>
          </w:p>
        </w:tc>
        <w:tc>
          <w:tcPr>
            <w:tcW w:w="1221"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4.5</w:t>
            </w:r>
          </w:p>
        </w:tc>
        <w:tc>
          <w:tcPr>
            <w:tcW w:w="989" w:type="dxa"/>
            <w:noWrap w:val="0"/>
            <w:vAlign w:val="center"/>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4"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TY-2</w:t>
            </w:r>
          </w:p>
        </w:tc>
        <w:tc>
          <w:tcPr>
            <w:tcW w:w="1003"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1.52</w:t>
            </w:r>
          </w:p>
        </w:tc>
        <w:tc>
          <w:tcPr>
            <w:tcW w:w="959"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2.02</w:t>
            </w:r>
          </w:p>
        </w:tc>
        <w:tc>
          <w:tcPr>
            <w:tcW w:w="1040" w:type="dxa"/>
            <w:noWrap w:val="0"/>
            <w:vAlign w:val="center"/>
          </w:tcPr>
          <w:p>
            <w:pPr>
              <w:ind w:firstLine="180" w:firstLineChars="100"/>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32.0</w:t>
            </w:r>
          </w:p>
        </w:tc>
        <w:tc>
          <w:tcPr>
            <w:tcW w:w="1157" w:type="dxa"/>
            <w:noWrap w:val="0"/>
            <w:vAlign w:val="center"/>
          </w:tcPr>
          <w:p>
            <w:pPr>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73.0</w:t>
            </w:r>
          </w:p>
        </w:tc>
        <w:tc>
          <w:tcPr>
            <w:tcW w:w="1032" w:type="dxa"/>
            <w:vMerge w:val="continue"/>
            <w:noWrap w:val="0"/>
            <w:vAlign w:val="top"/>
          </w:tcPr>
          <w:p>
            <w:pPr>
              <w:spacing w:line="360" w:lineRule="auto"/>
              <w:jc w:val="center"/>
              <w:rPr>
                <w:rFonts w:hint="eastAsia" w:ascii="宋体" w:hAnsi="宋体" w:eastAsia="宋体" w:cs="宋体"/>
                <w:color w:val="auto"/>
                <w:kern w:val="10"/>
                <w:sz w:val="18"/>
                <w:szCs w:val="18"/>
              </w:rPr>
            </w:pPr>
          </w:p>
        </w:tc>
        <w:tc>
          <w:tcPr>
            <w:tcW w:w="1215"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62</w:t>
            </w:r>
          </w:p>
        </w:tc>
        <w:tc>
          <w:tcPr>
            <w:tcW w:w="1221" w:type="dxa"/>
            <w:noWrap w:val="0"/>
            <w:vAlign w:val="top"/>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5.0</w:t>
            </w:r>
          </w:p>
        </w:tc>
        <w:tc>
          <w:tcPr>
            <w:tcW w:w="989" w:type="dxa"/>
            <w:noWrap w:val="0"/>
            <w:vAlign w:val="center"/>
          </w:tcPr>
          <w:p>
            <w:pPr>
              <w:spacing w:line="360" w:lineRule="auto"/>
              <w:jc w:val="center"/>
              <w:rPr>
                <w:rFonts w:hint="eastAsia" w:ascii="宋体" w:hAnsi="宋体" w:eastAsia="宋体" w:cs="宋体"/>
                <w:color w:val="auto"/>
                <w:kern w:val="10"/>
                <w:sz w:val="18"/>
                <w:szCs w:val="18"/>
              </w:rPr>
            </w:pPr>
            <w:r>
              <w:rPr>
                <w:rFonts w:hint="eastAsia" w:ascii="宋体" w:hAnsi="宋体" w:eastAsia="宋体" w:cs="宋体"/>
                <w:color w:val="auto"/>
                <w:kern w:val="1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9770" w:type="dxa"/>
            <w:gridSpan w:val="9"/>
            <w:noWrap w:val="0"/>
            <w:vAlign w:val="top"/>
          </w:tcPr>
          <w:p>
            <w:pPr>
              <w:jc w:val="both"/>
              <w:rPr>
                <w:rFonts w:hint="eastAsia"/>
                <w:sz w:val="18"/>
                <w:szCs w:val="18"/>
                <w:lang w:eastAsia="zh-CN"/>
              </w:rPr>
            </w:pPr>
            <w:r>
              <w:rPr>
                <w:rFonts w:hint="eastAsia"/>
                <w:sz w:val="18"/>
                <w:szCs w:val="18"/>
              </w:rPr>
              <w:t>备注：1、对表中的表观密度、耐压强度、室温电阻率、灰分含量规定为常规分析项目。</w:t>
            </w:r>
          </w:p>
          <w:p>
            <w:pPr>
              <w:ind w:left="900" w:leftChars="300" w:hanging="270" w:hangingChars="150"/>
              <w:jc w:val="both"/>
              <w:rPr>
                <w:rFonts w:hint="eastAsia"/>
                <w:sz w:val="18"/>
                <w:szCs w:val="18"/>
              </w:rPr>
            </w:pPr>
            <w:r>
              <w:rPr>
                <w:rFonts w:hint="eastAsia"/>
                <w:sz w:val="18"/>
                <w:szCs w:val="18"/>
              </w:rPr>
              <w:t>2、需方对表中CO2反应性、热膨胀系数、抗折强度及表中规定以外的性能</w:t>
            </w:r>
            <w:r>
              <w:rPr>
                <w:rFonts w:hint="eastAsia"/>
                <w:sz w:val="18"/>
                <w:szCs w:val="18"/>
                <w:lang w:val="en-US" w:eastAsia="zh-CN"/>
              </w:rPr>
              <w:t>,</w:t>
            </w:r>
            <w:r>
              <w:rPr>
                <w:rFonts w:hint="eastAsia"/>
                <w:sz w:val="18"/>
                <w:szCs w:val="18"/>
              </w:rPr>
              <w:t>如热导率、空气渗透率、空气反应性和微量元素含量（钒、镍、硅、铁、钠、钙）等有要求时应向供方提出，由供需双方协商确定并在合同中注明。</w:t>
            </w:r>
          </w:p>
          <w:p>
            <w:pPr>
              <w:ind w:firstLine="540" w:firstLineChars="300"/>
              <w:jc w:val="both"/>
              <w:rPr>
                <w:rFonts w:hint="eastAsia"/>
                <w:sz w:val="18"/>
                <w:szCs w:val="18"/>
              </w:rPr>
            </w:pPr>
            <w:r>
              <w:rPr>
                <w:rFonts w:hint="eastAsia"/>
                <w:sz w:val="18"/>
                <w:szCs w:val="18"/>
              </w:rPr>
              <w:t>3、对于有残极返回生产的产品指标要求，由供需双方协商确定，并在合同中注明。</w:t>
            </w:r>
          </w:p>
          <w:p>
            <w:pPr>
              <w:ind w:firstLine="540" w:firstLineChars="300"/>
              <w:jc w:val="both"/>
              <w:rPr>
                <w:rFonts w:hint="eastAsia"/>
                <w:sz w:val="18"/>
                <w:szCs w:val="18"/>
              </w:rPr>
            </w:pPr>
            <w:r>
              <w:rPr>
                <w:rFonts w:hint="eastAsia"/>
                <w:sz w:val="18"/>
                <w:szCs w:val="18"/>
              </w:rPr>
              <w:t>4、数值修约比较按GB/T</w:t>
            </w:r>
            <w:r>
              <w:rPr>
                <w:rFonts w:hint="eastAsia"/>
                <w:sz w:val="18"/>
                <w:szCs w:val="18"/>
                <w:lang w:val="en-US" w:eastAsia="zh-CN"/>
              </w:rPr>
              <w:t xml:space="preserve"> 8170有关</w:t>
            </w:r>
            <w:r>
              <w:rPr>
                <w:rFonts w:hint="eastAsia"/>
                <w:sz w:val="18"/>
                <w:szCs w:val="18"/>
              </w:rPr>
              <w:t>规定进行，修约数位与表中所列极限数位一致。</w:t>
            </w:r>
          </w:p>
          <w:p>
            <w:pPr>
              <w:pStyle w:val="2"/>
              <w:ind w:left="720" w:hanging="540" w:hangingChars="300"/>
              <w:jc w:val="both"/>
              <w:rPr>
                <w:rFonts w:hint="default" w:eastAsia="宋体"/>
                <w:sz w:val="18"/>
                <w:szCs w:val="18"/>
                <w:lang w:val="en-US" w:eastAsia="zh-CN"/>
              </w:rPr>
            </w:pPr>
            <w:r>
              <w:rPr>
                <w:rFonts w:hint="eastAsia"/>
                <w:sz w:val="18"/>
                <w:szCs w:val="18"/>
                <w:lang w:val="en-US" w:eastAsia="zh-CN"/>
              </w:rPr>
              <w:t xml:space="preserve">   </w:t>
            </w:r>
            <w:r>
              <w:rPr>
                <w:rFonts w:hint="eastAsia" w:ascii="Times New Roman" w:hAnsi="Times New Roman" w:eastAsia="宋体" w:cs="Times New Roman"/>
                <w:color w:val="auto"/>
                <w:kern w:val="2"/>
                <w:sz w:val="18"/>
                <w:szCs w:val="18"/>
                <w:lang w:val="en-US" w:eastAsia="zh-CN" w:bidi="ar-SA"/>
              </w:rPr>
              <w:t xml:space="preserve"> </w:t>
            </w:r>
            <w:r>
              <w:rPr>
                <w:rFonts w:hint="eastAsia" w:cs="Times New Roman"/>
                <w:color w:val="auto"/>
                <w:kern w:val="2"/>
                <w:sz w:val="18"/>
                <w:szCs w:val="18"/>
                <w:lang w:val="en-US" w:eastAsia="zh-CN" w:bidi="ar-SA"/>
              </w:rPr>
              <w:t xml:space="preserve"> </w:t>
            </w:r>
            <w:r>
              <w:rPr>
                <w:rFonts w:hint="eastAsia" w:ascii="Times New Roman" w:hAnsi="Times New Roman" w:eastAsia="宋体" w:cs="Times New Roman"/>
                <w:color w:val="auto"/>
                <w:kern w:val="2"/>
                <w:sz w:val="18"/>
                <w:szCs w:val="18"/>
                <w:lang w:val="en-US" w:eastAsia="zh-CN" w:bidi="ar-SA"/>
              </w:rPr>
              <w:t>5、我公司对预焙阳极炭块微量元素指标要求：硫含量田阳铝厂不大于2.6%，德保、田林</w:t>
            </w:r>
            <w:r>
              <w:rPr>
                <w:rFonts w:hint="eastAsia" w:cs="Times New Roman"/>
                <w:color w:val="auto"/>
                <w:kern w:val="2"/>
                <w:sz w:val="18"/>
                <w:szCs w:val="18"/>
                <w:lang w:val="en-US" w:eastAsia="zh-CN" w:bidi="ar-SA"/>
              </w:rPr>
              <w:t>、隆林</w:t>
            </w:r>
            <w:r>
              <w:rPr>
                <w:rFonts w:hint="eastAsia" w:ascii="Times New Roman" w:hAnsi="Times New Roman" w:eastAsia="宋体" w:cs="Times New Roman"/>
                <w:color w:val="auto"/>
                <w:kern w:val="2"/>
                <w:sz w:val="18"/>
                <w:szCs w:val="18"/>
                <w:lang w:val="en-US" w:eastAsia="zh-CN" w:bidi="ar-SA"/>
              </w:rPr>
              <w:t>铝厂不大于2.8%；钒含量不</w:t>
            </w:r>
            <w:r>
              <w:rPr>
                <w:rFonts w:hint="eastAsia" w:cs="Times New Roman"/>
                <w:color w:val="auto"/>
                <w:kern w:val="2"/>
                <w:sz w:val="18"/>
                <w:szCs w:val="18"/>
                <w:lang w:val="en-US" w:eastAsia="zh-CN" w:bidi="ar-SA"/>
              </w:rPr>
              <w:t>大</w:t>
            </w:r>
            <w:r>
              <w:rPr>
                <w:rFonts w:hint="eastAsia" w:ascii="Times New Roman" w:hAnsi="Times New Roman" w:eastAsia="宋体" w:cs="Times New Roman"/>
                <w:color w:val="auto"/>
                <w:kern w:val="2"/>
                <w:sz w:val="18"/>
                <w:szCs w:val="18"/>
                <w:lang w:val="en-US" w:eastAsia="zh-CN" w:bidi="ar-SA"/>
              </w:rPr>
              <w:t>于480ppm。</w:t>
            </w:r>
          </w:p>
        </w:tc>
      </w:tr>
    </w:tbl>
    <w:p>
      <w:pPr>
        <w:keepNext w:val="0"/>
        <w:keepLines w:val="0"/>
        <w:widowControl/>
        <w:suppressLineNumbers w:val="0"/>
        <w:jc w:val="both"/>
        <w:textAlignment w:val="center"/>
        <w:rPr>
          <w:rFonts w:hint="default"/>
          <w:b/>
          <w:kern w:val="10"/>
          <w:sz w:val="24"/>
          <w:lang w:val="en-US" w:eastAsia="zh-CN"/>
        </w:rPr>
      </w:pPr>
      <w:r>
        <w:rPr>
          <w:rFonts w:hint="eastAsia"/>
          <w:b/>
          <w:kern w:val="10"/>
          <w:sz w:val="24"/>
          <w:lang w:val="en-US" w:eastAsia="zh-CN"/>
        </w:rPr>
        <w:t xml:space="preserve">  </w:t>
      </w:r>
    </w:p>
    <w:p>
      <w:pPr>
        <w:keepNext w:val="0"/>
        <w:keepLines w:val="0"/>
        <w:widowControl/>
        <w:suppressLineNumbers w:val="0"/>
        <w:jc w:val="both"/>
        <w:textAlignment w:val="center"/>
        <w:rPr>
          <w:rFonts w:hint="eastAsia" w:ascii="宋体" w:hAnsi="宋体" w:eastAsia="宋体" w:cs="Times New Roman"/>
          <w:b/>
          <w:kern w:val="10"/>
          <w:sz w:val="24"/>
          <w:lang w:val="en-US" w:eastAsia="zh-CN"/>
        </w:rPr>
      </w:pPr>
      <w:r>
        <w:rPr>
          <w:rFonts w:hint="eastAsia" w:ascii="宋体" w:hAnsi="宋体" w:cs="Times New Roman"/>
          <w:kern w:val="10"/>
          <w:sz w:val="24"/>
          <w:lang w:val="en-US" w:eastAsia="zh-CN"/>
        </w:rPr>
        <w:t>5</w:t>
      </w:r>
      <w:r>
        <w:rPr>
          <w:rFonts w:hint="eastAsia" w:ascii="宋体" w:hAnsi="宋体" w:eastAsia="宋体" w:cs="Times New Roman"/>
          <w:kern w:val="10"/>
          <w:sz w:val="24"/>
          <w:lang w:val="en-US" w:eastAsia="zh-CN"/>
        </w:rPr>
        <w:t>.2 预焙阳极理化性能质量细则见下表。</w:t>
      </w:r>
    </w:p>
    <w:tbl>
      <w:tblPr>
        <w:tblStyle w:val="6"/>
        <w:tblW w:w="9700" w:type="dxa"/>
        <w:tblInd w:w="-192" w:type="dxa"/>
        <w:tblLayout w:type="fixed"/>
        <w:tblCellMar>
          <w:top w:w="0" w:type="dxa"/>
          <w:left w:w="108" w:type="dxa"/>
          <w:bottom w:w="0" w:type="dxa"/>
          <w:right w:w="108" w:type="dxa"/>
        </w:tblCellMar>
      </w:tblPr>
      <w:tblGrid>
        <w:gridCol w:w="606"/>
        <w:gridCol w:w="1230"/>
        <w:gridCol w:w="962"/>
        <w:gridCol w:w="1791"/>
        <w:gridCol w:w="2652"/>
        <w:gridCol w:w="2459"/>
      </w:tblGrid>
      <w:tr>
        <w:tblPrEx>
          <w:tblCellMar>
            <w:top w:w="0" w:type="dxa"/>
            <w:left w:w="108" w:type="dxa"/>
            <w:bottom w:w="0" w:type="dxa"/>
            <w:right w:w="108" w:type="dxa"/>
          </w:tblCellMar>
        </w:tblPrEx>
        <w:trPr>
          <w:trHeight w:val="555" w:hRule="atLeast"/>
        </w:trPr>
        <w:tc>
          <w:tcPr>
            <w:tcW w:w="97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b/>
                <w:bCs/>
                <w:i w:val="0"/>
                <w:iCs w:val="0"/>
                <w:color w:val="auto"/>
                <w:kern w:val="0"/>
                <w:sz w:val="30"/>
                <w:szCs w:val="30"/>
                <w:u w:val="none"/>
                <w:lang w:val="en-US" w:eastAsia="zh-CN" w:bidi="ar"/>
              </w:rPr>
              <w:t>预焙阳极</w:t>
            </w:r>
            <w:r>
              <w:rPr>
                <w:rFonts w:hint="eastAsia" w:ascii="宋体" w:hAnsi="宋体" w:eastAsia="宋体" w:cs="宋体"/>
                <w:b/>
                <w:bCs/>
                <w:i w:val="0"/>
                <w:iCs w:val="0"/>
                <w:color w:val="auto"/>
                <w:kern w:val="0"/>
                <w:sz w:val="30"/>
                <w:szCs w:val="30"/>
                <w:u w:val="none"/>
                <w:lang w:val="en-US" w:eastAsia="zh-CN" w:bidi="ar"/>
              </w:rPr>
              <w:t>理化性能</w:t>
            </w:r>
            <w:r>
              <w:rPr>
                <w:rFonts w:hint="eastAsia" w:ascii="宋体" w:hAnsi="宋体" w:cs="宋体"/>
                <w:b/>
                <w:bCs/>
                <w:i w:val="0"/>
                <w:iCs w:val="0"/>
                <w:color w:val="auto"/>
                <w:kern w:val="0"/>
                <w:sz w:val="30"/>
                <w:szCs w:val="30"/>
                <w:u w:val="none"/>
                <w:lang w:val="en-US" w:eastAsia="zh-CN" w:bidi="ar"/>
              </w:rPr>
              <w:t>质量细则</w:t>
            </w:r>
          </w:p>
        </w:tc>
      </w:tr>
      <w:tr>
        <w:tblPrEx>
          <w:tblCellMar>
            <w:top w:w="0" w:type="dxa"/>
            <w:left w:w="108" w:type="dxa"/>
            <w:bottom w:w="0" w:type="dxa"/>
            <w:right w:w="108" w:type="dxa"/>
          </w:tblCellMar>
        </w:tblPrEx>
        <w:trPr>
          <w:trHeight w:val="55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子项</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要求</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处理类别</w:t>
            </w:r>
          </w:p>
        </w:tc>
        <w:tc>
          <w:tcPr>
            <w:tcW w:w="5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处理措施</w:t>
            </w:r>
            <w:r>
              <w:rPr>
                <w:rFonts w:hint="eastAsia" w:ascii="宋体" w:hAnsi="宋体" w:cs="宋体"/>
                <w:b/>
                <w:bCs/>
                <w:i w:val="0"/>
                <w:iCs w:val="0"/>
                <w:color w:val="000000"/>
                <w:kern w:val="0"/>
                <w:sz w:val="18"/>
                <w:szCs w:val="18"/>
                <w:u w:val="none"/>
                <w:lang w:val="en-US" w:eastAsia="zh-CN" w:bidi="ar"/>
              </w:rPr>
              <w:t>（x指对应子项）</w:t>
            </w:r>
          </w:p>
        </w:tc>
      </w:tr>
      <w:tr>
        <w:tblPrEx>
          <w:tblCellMar>
            <w:top w:w="0" w:type="dxa"/>
            <w:left w:w="108" w:type="dxa"/>
            <w:bottom w:w="0" w:type="dxa"/>
            <w:right w:w="108" w:type="dxa"/>
          </w:tblCellMar>
        </w:tblPrEx>
        <w:trPr>
          <w:trHeight w:val="510"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表观密度 g/cm3</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1.52</w:t>
            </w:r>
            <w:r>
              <w:rPr>
                <w:rFonts w:hint="eastAsia"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x＜1.55，</w:t>
            </w:r>
            <w:r>
              <w:rPr>
                <w:rFonts w:hint="eastAsia" w:ascii="宋体" w:hAnsi="宋体" w:eastAsia="宋体" w:cs="宋体"/>
                <w:i w:val="0"/>
                <w:iCs w:val="0"/>
                <w:color w:val="000000"/>
                <w:kern w:val="0"/>
                <w:sz w:val="18"/>
                <w:szCs w:val="18"/>
                <w:u w:val="none"/>
                <w:lang w:val="en-US" w:eastAsia="zh-CN" w:bidi="ar"/>
              </w:rPr>
              <w:t>降级扣款</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每降低0.01g/cm3，扣款 5元/吨</w:t>
            </w:r>
          </w:p>
        </w:tc>
      </w:tr>
      <w:tr>
        <w:tblPrEx>
          <w:tblCellMar>
            <w:top w:w="0" w:type="dxa"/>
            <w:left w:w="108" w:type="dxa"/>
            <w:bottom w:w="0" w:type="dxa"/>
            <w:right w:w="108" w:type="dxa"/>
          </w:tblCellMar>
        </w:tblPrEx>
        <w:trPr>
          <w:trHeight w:val="454"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1.5</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，退货或按残极处理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w:t>
            </w:r>
            <w:r>
              <w:rPr>
                <w:rFonts w:hint="eastAsia" w:ascii="宋体" w:hAnsi="宋体" w:cs="宋体"/>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454"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耐压强度 MPa</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2.0</w:t>
            </w:r>
            <w:r>
              <w:rPr>
                <w:rFonts w:hint="eastAsia"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，降级扣款</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每降1MPa，扣款 5元/吨</w:t>
            </w:r>
          </w:p>
        </w:tc>
      </w:tr>
      <w:tr>
        <w:tblPrEx>
          <w:tblCellMar>
            <w:top w:w="0" w:type="dxa"/>
            <w:left w:w="108" w:type="dxa"/>
            <w:bottom w:w="0" w:type="dxa"/>
            <w:right w:w="108" w:type="dxa"/>
          </w:tblCellMar>
        </w:tblPrEx>
        <w:trPr>
          <w:trHeight w:val="454"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，退货或按残极处理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w:t>
            </w:r>
            <w:r>
              <w:rPr>
                <w:rFonts w:hint="eastAsia" w:ascii="宋体" w:hAnsi="宋体" w:cs="宋体"/>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10"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室温电阻率µΩ·m</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57</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电阻率5</w:t>
            </w:r>
            <w:r>
              <w:rPr>
                <w:rFonts w:hint="eastAsia" w:ascii="宋体" w:hAnsi="宋体" w:cs="宋体"/>
                <w:i w:val="0"/>
                <w:iCs w:val="0"/>
                <w:color w:val="auto"/>
                <w:kern w:val="0"/>
                <w:sz w:val="18"/>
                <w:szCs w:val="18"/>
                <w:u w:val="none"/>
                <w:lang w:val="en-US" w:eastAsia="zh-CN" w:bidi="ar"/>
              </w:rPr>
              <w:t>7＜x</w:t>
            </w:r>
            <w:r>
              <w:rPr>
                <w:rFonts w:hint="eastAsia"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62</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每增高1Ω·m，扣款 </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454"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X＞</w:t>
            </w:r>
            <w:r>
              <w:rPr>
                <w:rFonts w:hint="eastAsia" w:ascii="宋体" w:hAnsi="宋体" w:eastAsia="宋体" w:cs="宋体"/>
                <w:i w:val="0"/>
                <w:iCs w:val="0"/>
                <w:color w:val="auto"/>
                <w:kern w:val="0"/>
                <w:sz w:val="18"/>
                <w:szCs w:val="18"/>
                <w:u w:val="none"/>
                <w:lang w:val="en-US" w:eastAsia="zh-CN" w:bidi="ar"/>
              </w:rPr>
              <w:t>6</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，退货或按残极处理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残极按单价的</w:t>
            </w:r>
            <w:r>
              <w:rPr>
                <w:rFonts w:hint="eastAsia" w:ascii="宋体" w:hAnsi="宋体" w:cs="宋体"/>
                <w:i w:val="0"/>
                <w:iCs w:val="0"/>
                <w:color w:val="auto"/>
                <w:kern w:val="0"/>
                <w:sz w:val="18"/>
                <w:szCs w:val="18"/>
                <w:u w:val="none"/>
                <w:lang w:val="en-US" w:eastAsia="zh-CN" w:bidi="ar"/>
              </w:rPr>
              <w:t>38</w:t>
            </w:r>
            <w:r>
              <w:rPr>
                <w:rFonts w:hint="eastAsia" w:ascii="宋体" w:hAnsi="宋体" w:eastAsia="宋体" w:cs="宋体"/>
                <w:i w:val="0"/>
                <w:iCs w:val="0"/>
                <w:color w:val="auto"/>
                <w:kern w:val="0"/>
                <w:sz w:val="18"/>
                <w:szCs w:val="18"/>
                <w:u w:val="none"/>
                <w:lang w:val="en-US" w:eastAsia="zh-CN" w:bidi="ar"/>
              </w:rPr>
              <w:t>%计算</w:t>
            </w:r>
          </w:p>
        </w:tc>
      </w:tr>
      <w:tr>
        <w:tblPrEx>
          <w:tblCellMar>
            <w:top w:w="0" w:type="dxa"/>
            <w:left w:w="108" w:type="dxa"/>
            <w:bottom w:w="0" w:type="dxa"/>
            <w:right w:w="108" w:type="dxa"/>
          </w:tblCellMar>
        </w:tblPrEx>
        <w:trPr>
          <w:trHeight w:val="454"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灰分含量%</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0.5</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5＜x</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0.8，降级扣款</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每增高0.1，扣款 5元/吨</w:t>
            </w:r>
          </w:p>
        </w:tc>
      </w:tr>
      <w:tr>
        <w:tblPrEx>
          <w:tblCellMar>
            <w:top w:w="0" w:type="dxa"/>
            <w:left w:w="108" w:type="dxa"/>
            <w:bottom w:w="0" w:type="dxa"/>
            <w:right w:w="108" w:type="dxa"/>
          </w:tblCellMar>
        </w:tblPrEx>
        <w:trPr>
          <w:trHeight w:val="454"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X＞0.8</w:t>
            </w:r>
            <w:r>
              <w:rPr>
                <w:rFonts w:hint="eastAsia" w:ascii="宋体" w:hAnsi="宋体" w:eastAsia="宋体" w:cs="宋体"/>
                <w:i w:val="0"/>
                <w:iCs w:val="0"/>
                <w:color w:val="auto"/>
                <w:kern w:val="0"/>
                <w:sz w:val="18"/>
                <w:szCs w:val="18"/>
                <w:u w:val="none"/>
                <w:lang w:val="en-US" w:eastAsia="zh-CN" w:bidi="ar"/>
              </w:rPr>
              <w:t>，退货或按残极处理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残极按单价的</w:t>
            </w:r>
            <w:r>
              <w:rPr>
                <w:rFonts w:hint="eastAsia" w:ascii="宋体" w:hAnsi="宋体" w:cs="宋体"/>
                <w:i w:val="0"/>
                <w:iCs w:val="0"/>
                <w:color w:val="auto"/>
                <w:kern w:val="0"/>
                <w:sz w:val="18"/>
                <w:szCs w:val="18"/>
                <w:u w:val="none"/>
                <w:lang w:val="en-US" w:eastAsia="zh-CN" w:bidi="ar"/>
              </w:rPr>
              <w:t>38</w:t>
            </w:r>
            <w:r>
              <w:rPr>
                <w:rFonts w:hint="eastAsia" w:ascii="宋体" w:hAnsi="宋体" w:eastAsia="宋体" w:cs="宋体"/>
                <w:i w:val="0"/>
                <w:iCs w:val="0"/>
                <w:color w:val="auto"/>
                <w:kern w:val="0"/>
                <w:sz w:val="18"/>
                <w:szCs w:val="18"/>
                <w:u w:val="none"/>
                <w:lang w:val="en-US" w:eastAsia="zh-CN" w:bidi="ar"/>
              </w:rPr>
              <w:t xml:space="preserve">%计算 </w:t>
            </w:r>
          </w:p>
        </w:tc>
      </w:tr>
      <w:tr>
        <w:tblPrEx>
          <w:tblCellMar>
            <w:top w:w="0" w:type="dxa"/>
            <w:left w:w="108" w:type="dxa"/>
            <w:bottom w:w="0" w:type="dxa"/>
            <w:right w:w="108" w:type="dxa"/>
          </w:tblCellMar>
        </w:tblPrEx>
        <w:trPr>
          <w:trHeight w:val="567"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含硫量s</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田阳</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2.6</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德保、田林</w:t>
            </w:r>
            <w:r>
              <w:rPr>
                <w:rFonts w:hint="eastAsia" w:ascii="宋体" w:hAnsi="宋体" w:cs="宋体"/>
                <w:i w:val="0"/>
                <w:iCs w:val="0"/>
                <w:color w:val="000000"/>
                <w:kern w:val="0"/>
                <w:sz w:val="18"/>
                <w:szCs w:val="18"/>
                <w:u w:val="none"/>
                <w:lang w:val="en-US" w:eastAsia="zh-CN" w:bidi="ar"/>
              </w:rPr>
              <w:t>、隆林</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2.8</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田阳</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6＜x</w:t>
            </w:r>
            <w:r>
              <w:rPr>
                <w:rFonts w:hint="eastAsia"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3.0，德保、田林、隆林</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8＜x</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，降级扣款</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每增高0.1，扣款 </w:t>
            </w:r>
            <w:r>
              <w:rPr>
                <w:rFonts w:hint="eastAsia" w:ascii="宋体" w:hAnsi="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567"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田阳X＞</w:t>
            </w:r>
            <w:r>
              <w:rPr>
                <w:rFonts w:hint="eastAsia" w:ascii="宋体" w:hAnsi="宋体" w:eastAsia="宋体" w:cs="宋体"/>
                <w:i w:val="0"/>
                <w:iCs w:val="0"/>
                <w:color w:val="000000"/>
                <w:kern w:val="0"/>
                <w:sz w:val="18"/>
                <w:szCs w:val="18"/>
                <w:u w:val="none"/>
                <w:lang w:val="en-US" w:eastAsia="zh-CN" w:bidi="ar"/>
              </w:rPr>
              <w:t>3.0</w:t>
            </w:r>
            <w:r>
              <w:rPr>
                <w:rFonts w:hint="eastAsia" w:ascii="宋体" w:hAnsi="宋体" w:cs="宋体"/>
                <w:i w:val="0"/>
                <w:iCs w:val="0"/>
                <w:color w:val="000000"/>
                <w:kern w:val="0"/>
                <w:sz w:val="18"/>
                <w:szCs w:val="18"/>
                <w:u w:val="none"/>
                <w:lang w:val="en-US" w:eastAsia="zh-CN" w:bidi="ar"/>
              </w:rPr>
              <w:t>，德保、田林、隆林X＞</w:t>
            </w:r>
            <w:r>
              <w:rPr>
                <w:rFonts w:hint="eastAsia" w:ascii="宋体" w:hAnsi="宋体" w:eastAsia="宋体" w:cs="宋体"/>
                <w:i w:val="0"/>
                <w:iCs w:val="0"/>
                <w:color w:val="000000"/>
                <w:kern w:val="0"/>
                <w:sz w:val="18"/>
                <w:szCs w:val="18"/>
                <w:u w:val="none"/>
                <w:lang w:val="en-US" w:eastAsia="zh-CN" w:bidi="ar"/>
              </w:rPr>
              <w:t>3.2，</w:t>
            </w:r>
            <w:r>
              <w:rPr>
                <w:rFonts w:hint="eastAsia" w:ascii="宋体" w:hAnsi="宋体" w:eastAsia="宋体" w:cs="宋体"/>
                <w:i w:val="0"/>
                <w:iCs w:val="0"/>
                <w:color w:val="auto"/>
                <w:kern w:val="0"/>
                <w:sz w:val="18"/>
                <w:szCs w:val="18"/>
                <w:u w:val="none"/>
                <w:lang w:val="en-US" w:eastAsia="zh-CN" w:bidi="ar"/>
              </w:rPr>
              <w:t>退</w:t>
            </w:r>
            <w:r>
              <w:rPr>
                <w:rFonts w:hint="eastAsia" w:ascii="宋体" w:hAnsi="宋体" w:eastAsia="宋体" w:cs="宋体"/>
                <w:i w:val="0"/>
                <w:iCs w:val="0"/>
                <w:color w:val="000000"/>
                <w:kern w:val="0"/>
                <w:sz w:val="18"/>
                <w:szCs w:val="18"/>
                <w:u w:val="none"/>
                <w:lang w:val="en-US" w:eastAsia="zh-CN" w:bidi="ar"/>
              </w:rPr>
              <w:t>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w:t>
            </w:r>
            <w:r>
              <w:rPr>
                <w:rFonts w:hint="eastAsia" w:ascii="宋体" w:hAnsi="宋体" w:cs="宋体"/>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 xml:space="preserve">%计算 </w:t>
            </w:r>
          </w:p>
        </w:tc>
      </w:tr>
      <w:tr>
        <w:tblPrEx>
          <w:tblCellMar>
            <w:top w:w="0" w:type="dxa"/>
            <w:left w:w="108" w:type="dxa"/>
            <w:bottom w:w="0" w:type="dxa"/>
            <w:right w:w="108" w:type="dxa"/>
          </w:tblCellMar>
        </w:tblPrEx>
        <w:trPr>
          <w:trHeight w:val="454" w:hRule="exac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钒含量V</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480ppm</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钒480</w:t>
            </w:r>
            <w:r>
              <w:rPr>
                <w:rFonts w:hint="eastAsia" w:ascii="宋体" w:hAnsi="宋体" w:cs="宋体"/>
                <w:i w:val="0"/>
                <w:iCs w:val="0"/>
                <w:color w:val="000000"/>
                <w:kern w:val="0"/>
                <w:sz w:val="18"/>
                <w:szCs w:val="18"/>
                <w:u w:val="none"/>
                <w:lang w:val="en-US" w:eastAsia="zh-CN" w:bidi="ar"/>
              </w:rPr>
              <w:t>＜x</w:t>
            </w:r>
            <w:r>
              <w:rPr>
                <w:rFonts w:hint="eastAsia"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600</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每增高1ppm，扣款1元/吨</w:t>
            </w:r>
          </w:p>
        </w:tc>
      </w:tr>
      <w:tr>
        <w:tblPrEx>
          <w:tblCellMar>
            <w:top w:w="0" w:type="dxa"/>
            <w:left w:w="108" w:type="dxa"/>
            <w:bottom w:w="0" w:type="dxa"/>
            <w:right w:w="108" w:type="dxa"/>
          </w:tblCellMar>
        </w:tblPrEx>
        <w:trPr>
          <w:trHeight w:val="454" w:hRule="exac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钒高于600，退货或按残极处理</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w:t>
            </w:r>
            <w:r>
              <w:rPr>
                <w:rFonts w:hint="eastAsia" w:ascii="宋体" w:hAnsi="宋体" w:cs="宋体"/>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454" w:hRule="exac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一级品率</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240" w:lineRule="exact"/>
              <w:jc w:val="both"/>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60%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扣款</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＜60%</w:t>
            </w:r>
          </w:p>
        </w:tc>
        <w:tc>
          <w:tcPr>
            <w:tcW w:w="2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扣款100元/吨</w:t>
            </w:r>
          </w:p>
        </w:tc>
      </w:tr>
      <w:tr>
        <w:tblPrEx>
          <w:tblCellMar>
            <w:top w:w="0" w:type="dxa"/>
            <w:left w:w="108" w:type="dxa"/>
            <w:bottom w:w="0" w:type="dxa"/>
            <w:right w:w="108" w:type="dxa"/>
          </w:tblCellMar>
        </w:tblPrEx>
        <w:trPr>
          <w:trHeight w:val="569" w:hRule="atLeast"/>
        </w:trPr>
        <w:tc>
          <w:tcPr>
            <w:tcW w:w="970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注明：</w:t>
            </w:r>
          </w:p>
          <w:p>
            <w:pPr>
              <w:keepNext w:val="0"/>
              <w:keepLines w:val="0"/>
              <w:pageBreakBefore w:val="0"/>
              <w:widowControl/>
              <w:suppressLineNumbers w:val="0"/>
              <w:kinsoku/>
              <w:wordWrap/>
              <w:overflowPunct/>
              <w:topLinePunct w:val="0"/>
              <w:bidi w:val="0"/>
              <w:snapToGrid/>
              <w:spacing w:line="240" w:lineRule="exact"/>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交货的品种、质量等不符合合同规定的按细则处理</w:t>
            </w:r>
            <w:r>
              <w:rPr>
                <w:rFonts w:hint="eastAsia" w:eastAsia="宋体" w:cs="宋体"/>
                <w:i w:val="0"/>
                <w:iCs w:val="0"/>
                <w:color w:val="000000"/>
                <w:kern w:val="0"/>
                <w:sz w:val="18"/>
                <w:szCs w:val="18"/>
                <w:u w:val="none"/>
                <w:lang w:val="en-US" w:eastAsia="zh-CN" w:bidi="ar"/>
              </w:rPr>
              <w:t>。</w:t>
            </w:r>
          </w:p>
        </w:tc>
      </w:tr>
    </w:tbl>
    <w:p>
      <w:pPr>
        <w:pStyle w:val="2"/>
        <w:rPr>
          <w:rFonts w:hint="eastAsia"/>
          <w:b w:val="0"/>
          <w:bCs/>
          <w:color w:val="FF0000"/>
          <w:kern w:val="10"/>
          <w:sz w:val="24"/>
          <w:lang w:val="en-US" w:eastAsia="zh-CN"/>
        </w:rPr>
      </w:pPr>
    </w:p>
    <w:p>
      <w:pPr>
        <w:pStyle w:val="2"/>
        <w:ind w:firstLine="480" w:firstLineChars="200"/>
        <w:rPr>
          <w:rFonts w:hint="eastAsia"/>
          <w:b w:val="0"/>
          <w:bCs/>
          <w:color w:val="FF0000"/>
          <w:kern w:val="10"/>
          <w:sz w:val="24"/>
          <w:lang w:val="en-US" w:eastAsia="zh-CN"/>
        </w:rPr>
      </w:pPr>
    </w:p>
    <w:p>
      <w:pPr>
        <w:spacing w:before="156" w:beforeLines="50" w:after="156" w:afterLines="50" w:line="360" w:lineRule="auto"/>
        <w:outlineLvl w:val="1"/>
        <w:rPr>
          <w:rFonts w:hint="eastAsia" w:eastAsia="宋体"/>
          <w:b/>
          <w:kern w:val="10"/>
          <w:sz w:val="24"/>
          <w:lang w:eastAsia="zh-CN"/>
        </w:rPr>
      </w:pPr>
      <w:r>
        <w:rPr>
          <w:rFonts w:hint="eastAsia" w:ascii="宋体" w:hAnsi="宋体" w:cs="Times New Roman"/>
          <w:b/>
          <w:kern w:val="10"/>
          <w:sz w:val="24"/>
          <w:lang w:val="en-US" w:eastAsia="zh-CN"/>
        </w:rPr>
        <w:t>5</w:t>
      </w:r>
      <w:r>
        <w:rPr>
          <w:rFonts w:hint="eastAsia" w:ascii="宋体" w:hAnsi="宋体" w:eastAsia="宋体" w:cs="Times New Roman"/>
          <w:b/>
          <w:kern w:val="10"/>
          <w:sz w:val="24"/>
          <w:lang w:val="en-US" w:eastAsia="zh-CN"/>
        </w:rPr>
        <w:t xml:space="preserve"> </w:t>
      </w:r>
      <w:r>
        <w:rPr>
          <w:rFonts w:hint="eastAsia"/>
          <w:b/>
          <w:kern w:val="10"/>
          <w:sz w:val="24"/>
        </w:rPr>
        <w:t>外观质量</w:t>
      </w:r>
      <w:r>
        <w:rPr>
          <w:rFonts w:hint="eastAsia"/>
          <w:b/>
          <w:kern w:val="10"/>
          <w:sz w:val="24"/>
          <w:lang w:eastAsia="zh-CN"/>
        </w:rPr>
        <w:t>细则</w:t>
      </w:r>
      <w:bookmarkEnd w:id="3"/>
    </w:p>
    <w:tbl>
      <w:tblPr>
        <w:tblStyle w:val="6"/>
        <w:tblW w:w="9991" w:type="dxa"/>
        <w:tblInd w:w="-442" w:type="dxa"/>
        <w:tblLayout w:type="fixed"/>
        <w:tblCellMar>
          <w:top w:w="0" w:type="dxa"/>
          <w:left w:w="108" w:type="dxa"/>
          <w:bottom w:w="0" w:type="dxa"/>
          <w:right w:w="108" w:type="dxa"/>
        </w:tblCellMar>
      </w:tblPr>
      <w:tblGrid>
        <w:gridCol w:w="585"/>
        <w:gridCol w:w="1260"/>
        <w:gridCol w:w="1963"/>
        <w:gridCol w:w="1619"/>
        <w:gridCol w:w="2268"/>
        <w:gridCol w:w="2296"/>
      </w:tblGrid>
      <w:tr>
        <w:tblPrEx>
          <w:tblCellMar>
            <w:top w:w="0" w:type="dxa"/>
            <w:left w:w="108" w:type="dxa"/>
            <w:bottom w:w="0" w:type="dxa"/>
            <w:right w:w="108" w:type="dxa"/>
          </w:tblCellMar>
        </w:tblPrEx>
        <w:trPr>
          <w:trHeight w:val="499" w:hRule="atLeast"/>
        </w:trPr>
        <w:tc>
          <w:tcPr>
            <w:tcW w:w="9991" w:type="dxa"/>
            <w:gridSpan w:val="6"/>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633" w:hRule="atLeast"/>
        </w:trPr>
        <w:tc>
          <w:tcPr>
            <w:tcW w:w="99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auto"/>
                <w:kern w:val="0"/>
                <w:sz w:val="30"/>
                <w:szCs w:val="30"/>
                <w:u w:val="none"/>
                <w:lang w:val="en-US" w:eastAsia="zh-CN" w:bidi="ar"/>
              </w:rPr>
              <w:t>预焙阳极</w:t>
            </w:r>
            <w:r>
              <w:rPr>
                <w:rFonts w:hint="eastAsia" w:ascii="宋体" w:hAnsi="宋体" w:eastAsia="宋体" w:cs="宋体"/>
                <w:b/>
                <w:bCs/>
                <w:i w:val="0"/>
                <w:iCs w:val="0"/>
                <w:color w:val="auto"/>
                <w:kern w:val="0"/>
                <w:sz w:val="30"/>
                <w:szCs w:val="30"/>
                <w:u w:val="none"/>
                <w:lang w:val="en-US" w:eastAsia="zh-CN" w:bidi="ar"/>
              </w:rPr>
              <w:t>外观质量</w:t>
            </w:r>
            <w:r>
              <w:rPr>
                <w:rFonts w:hint="eastAsia" w:ascii="宋体" w:hAnsi="宋体" w:cs="宋体"/>
                <w:b/>
                <w:bCs/>
                <w:i w:val="0"/>
                <w:iCs w:val="0"/>
                <w:color w:val="auto"/>
                <w:kern w:val="0"/>
                <w:sz w:val="30"/>
                <w:szCs w:val="30"/>
                <w:u w:val="none"/>
                <w:lang w:val="en-US" w:eastAsia="zh-CN" w:bidi="ar"/>
              </w:rPr>
              <w:t>细则</w:t>
            </w:r>
          </w:p>
        </w:tc>
      </w:tr>
      <w:tr>
        <w:tblPrEx>
          <w:tblCellMar>
            <w:top w:w="0" w:type="dxa"/>
            <w:left w:w="108" w:type="dxa"/>
            <w:bottom w:w="0" w:type="dxa"/>
            <w:right w:w="108" w:type="dxa"/>
          </w:tblCellMar>
        </w:tblPrEx>
        <w:trPr>
          <w:trHeight w:val="633"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子项</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要求</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处理类别</w:t>
            </w:r>
          </w:p>
        </w:tc>
        <w:tc>
          <w:tcPr>
            <w:tcW w:w="45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shd w:val="clear" w:color="auto" w:fill="auto"/>
                <w:lang w:val="en-US" w:eastAsia="zh-CN" w:bidi="ar"/>
              </w:rPr>
              <w:t>处理措施</w:t>
            </w:r>
            <w:r>
              <w:rPr>
                <w:rFonts w:hint="eastAsia" w:ascii="宋体" w:hAnsi="宋体" w:cs="宋体"/>
                <w:b/>
                <w:bCs/>
                <w:i w:val="0"/>
                <w:iCs w:val="0"/>
                <w:color w:val="000000"/>
                <w:kern w:val="0"/>
                <w:sz w:val="18"/>
                <w:szCs w:val="18"/>
                <w:u w:val="none"/>
                <w:shd w:val="clear" w:color="auto" w:fill="auto"/>
                <w:lang w:val="en-US" w:eastAsia="zh-CN" w:bidi="ar"/>
              </w:rPr>
              <w:t>（x为对应的控制子项）</w:t>
            </w:r>
          </w:p>
        </w:tc>
      </w:tr>
      <w:tr>
        <w:tblPrEx>
          <w:tblCellMar>
            <w:top w:w="0" w:type="dxa"/>
            <w:left w:w="108" w:type="dxa"/>
            <w:bottom w:w="0" w:type="dxa"/>
            <w:right w:w="108" w:type="dxa"/>
          </w:tblCellMar>
        </w:tblPrEx>
        <w:trPr>
          <w:trHeight w:val="633"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阳极表面粘接的填充料</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清理干净</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清理不干净</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30元/吨</w:t>
            </w:r>
          </w:p>
        </w:tc>
      </w:tr>
      <w:tr>
        <w:tblPrEx>
          <w:tblCellMar>
            <w:top w:w="0" w:type="dxa"/>
            <w:left w:w="108" w:type="dxa"/>
            <w:bottom w:w="0" w:type="dxa"/>
            <w:right w:w="108" w:type="dxa"/>
          </w:tblCellMar>
        </w:tblPrEx>
        <w:trPr>
          <w:trHeight w:val="34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阳极干燥程度</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保持阳极干燥</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阳极不干燥</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阳极表面的氧化面</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面积：不得大于该表面面积的20％，深度：不得超过20 mm</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highlight w:val="none"/>
                <w:u w:val="none"/>
                <w:lang w:val="en-US" w:eastAsia="zh-CN" w:bidi="ar"/>
              </w:rPr>
              <w:t>20%</w:t>
            </w:r>
            <w:r>
              <w:rPr>
                <w:rFonts w:hint="eastAsia" w:ascii="宋体" w:hAnsi="宋体" w:cs="宋体"/>
                <w:i w:val="0"/>
                <w:iCs w:val="0"/>
                <w:color w:val="auto"/>
                <w:kern w:val="0"/>
                <w:sz w:val="18"/>
                <w:szCs w:val="18"/>
                <w:highlight w:val="none"/>
                <w:u w:val="none"/>
                <w:lang w:val="en-US" w:eastAsia="zh-CN" w:bidi="ar"/>
              </w:rPr>
              <w:t>＜面积</w:t>
            </w:r>
            <w:r>
              <w:rPr>
                <w:rFonts w:hint="eastAsia"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50%</w:t>
            </w:r>
            <w:r>
              <w:rPr>
                <w:rFonts w:hint="eastAsia" w:ascii="宋体" w:hAnsi="宋体" w:cs="宋体"/>
                <w:i w:val="0"/>
                <w:iCs w:val="0"/>
                <w:color w:val="auto"/>
                <w:kern w:val="0"/>
                <w:sz w:val="18"/>
                <w:szCs w:val="18"/>
                <w:highlight w:val="none"/>
                <w:u w:val="none"/>
                <w:lang w:val="en-US" w:eastAsia="zh-CN" w:bidi="ar"/>
              </w:rPr>
              <w:t>；10mm＜深度</w:t>
            </w:r>
            <w:r>
              <w:rPr>
                <w:rFonts w:hint="eastAsia"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highlight w:val="none"/>
                <w:u w:val="none"/>
                <w:lang w:val="en-US" w:eastAsia="zh-CN" w:bidi="ar"/>
              </w:rPr>
              <w:t>20mm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highlight w:val="none"/>
                <w:u w:val="none"/>
                <w:lang w:val="en-US" w:eastAsia="zh-CN" w:bidi="ar"/>
              </w:rPr>
              <w:t>面积</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50%</w:t>
            </w:r>
            <w:r>
              <w:rPr>
                <w:rFonts w:hint="eastAsia" w:ascii="宋体" w:hAnsi="宋体" w:cs="宋体"/>
                <w:i w:val="0"/>
                <w:iCs w:val="0"/>
                <w:color w:val="auto"/>
                <w:kern w:val="0"/>
                <w:sz w:val="18"/>
                <w:szCs w:val="18"/>
                <w:u w:val="none"/>
                <w:lang w:val="en-US" w:eastAsia="zh-CN" w:bidi="ar"/>
              </w:rPr>
              <w:t>；氧化</w:t>
            </w:r>
            <w:r>
              <w:rPr>
                <w:rFonts w:hint="eastAsia" w:ascii="宋体" w:hAnsi="宋体" w:eastAsia="宋体" w:cs="宋体"/>
                <w:i w:val="0"/>
                <w:iCs w:val="0"/>
                <w:color w:val="auto"/>
                <w:kern w:val="0"/>
                <w:sz w:val="18"/>
                <w:szCs w:val="18"/>
                <w:u w:val="none"/>
                <w:lang w:val="en-US" w:eastAsia="zh-CN" w:bidi="ar"/>
              </w:rPr>
              <w:t>深度＞</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0mm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阳极掉角截面近似周长</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不大于450mm；在100mm ~450mm之间的不得多于两处（小于100mm忽略不计）</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250mm</w:t>
            </w:r>
            <w:r>
              <w:rPr>
                <w:rFonts w:hint="eastAsia" w:ascii="宋体" w:hAnsi="宋体" w:cs="宋体"/>
                <w:i w:val="0"/>
                <w:iCs w:val="0"/>
                <w:color w:val="000000"/>
                <w:kern w:val="0"/>
                <w:sz w:val="18"/>
                <w:szCs w:val="18"/>
                <w:u w:val="none"/>
                <w:lang w:val="en-US" w:eastAsia="zh-CN" w:bidi="ar"/>
              </w:rPr>
              <w:t>；</w:t>
            </w:r>
            <w:r>
              <w:rPr>
                <w:rFonts w:hint="eastAsia" w:cs="宋体"/>
                <w:i w:val="0"/>
                <w:iCs w:val="0"/>
                <w:color w:val="auto"/>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2处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元/吨</w:t>
            </w:r>
          </w:p>
        </w:tc>
      </w:tr>
      <w:tr>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highlight w:val="none"/>
                <w:u w:val="none"/>
                <w:lang w:val="en-US" w:eastAsia="zh-CN" w:bidi="ar"/>
              </w:rPr>
              <w:t>X</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450mm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850"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阳极掉棱</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长度：不大于400 mm，深度：不大于60 mm；长度在100mm ~ 400mm，深度不大于60 mm的不得多于两处；（长度小于100mm，深度小于60mm的忽略不计）</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长度</w:t>
            </w:r>
            <w:r>
              <w:rPr>
                <w:rFonts w:hint="eastAsia" w:ascii="宋体" w:hAnsi="宋体" w:eastAsia="宋体" w:cs="宋体"/>
                <w:i w:val="0"/>
                <w:iCs w:val="0"/>
                <w:color w:val="000000"/>
                <w:kern w:val="0"/>
                <w:sz w:val="18"/>
                <w:szCs w:val="18"/>
                <w:u w:val="none"/>
                <w:lang w:val="en-US" w:eastAsia="zh-CN" w:bidi="ar"/>
              </w:rPr>
              <w:t>100mm</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0mm</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0mm</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深度</w:t>
            </w:r>
            <w:r>
              <w:rPr>
                <w:rFonts w:hint="eastAsia" w:ascii="宋体" w:hAnsi="宋体"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850"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400mm,深度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60mm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炭碗内裂纹或连接炭碗的孔边缘裂纹</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长度：不大于 100mm，最大宽度：不大于 1mm ；孔与孔间不允许有连通裂纹</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长度大于50mm</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100mm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宽度</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1mm</w:t>
            </w:r>
            <w:r>
              <w:rPr>
                <w:rFonts w:hint="eastAsia" w:ascii="宋体" w:hAnsi="宋体" w:cs="宋体"/>
                <w:i w:val="0"/>
                <w:iCs w:val="0"/>
                <w:color w:val="000000"/>
                <w:kern w:val="0"/>
                <w:sz w:val="18"/>
                <w:szCs w:val="18"/>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850"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长度＞100mm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深度＞1mm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孔与孔间有连通裂纹、对裂纹</w:t>
            </w:r>
            <w:r>
              <w:rPr>
                <w:rFonts w:hint="eastAsia" w:ascii="宋体" w:hAnsi="宋体" w:cs="宋体"/>
                <w:i w:val="0"/>
                <w:iCs w:val="0"/>
                <w:color w:val="000000"/>
                <w:kern w:val="0"/>
                <w:sz w:val="18"/>
                <w:szCs w:val="18"/>
                <w:u w:val="none"/>
                <w:lang w:val="en-US" w:eastAsia="zh-CN" w:bidi="ar"/>
              </w:rPr>
              <w:t>；（满足单项条件）</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每块有缺损的炭碗数</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无缺损</w:t>
            </w: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扣款</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个</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p>
        </w:tc>
        <w:tc>
          <w:tcPr>
            <w:tcW w:w="1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退货或按残极处理</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ind w:firstLine="900" w:firstLineChars="500"/>
              <w:jc w:val="both"/>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highlight w:val="none"/>
                <w:u w:val="none"/>
                <w:lang w:val="en-US" w:eastAsia="zh-CN" w:bidi="ar"/>
              </w:rPr>
              <w:t>X</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lang w:val="en-US" w:eastAsia="zh-CN"/>
              </w:rPr>
              <w:t>2</w:t>
            </w:r>
            <w:r>
              <w:rPr>
                <w:rFonts w:hint="eastAsia" w:ascii="宋体" w:hAnsi="宋体" w:cs="宋体"/>
                <w:i w:val="0"/>
                <w:iCs w:val="0"/>
                <w:color w:val="000000"/>
                <w:sz w:val="18"/>
                <w:szCs w:val="18"/>
                <w:u w:val="none"/>
                <w:lang w:val="en-US" w:eastAsia="zh-CN"/>
              </w:rPr>
              <w:t>个</w:t>
            </w:r>
          </w:p>
        </w:tc>
        <w:tc>
          <w:tcPr>
            <w:tcW w:w="22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残极按单价的3</w:t>
            </w:r>
            <w:r>
              <w:rPr>
                <w:rFonts w:hint="eastAsia" w:ascii="宋体" w:hAnsi="宋体" w:cs="宋体"/>
                <w:i w:val="0"/>
                <w:iCs w:val="0"/>
                <w:color w:val="000000"/>
                <w:sz w:val="18"/>
                <w:szCs w:val="18"/>
                <w:u w:val="none"/>
                <w:lang w:val="en-US" w:eastAsia="zh-CN"/>
              </w:rPr>
              <w:t>8</w:t>
            </w:r>
            <w:r>
              <w:rPr>
                <w:rFonts w:hint="eastAsia" w:ascii="宋体" w:hAnsi="宋体" w:eastAsia="宋体" w:cs="宋体"/>
                <w:i w:val="0"/>
                <w:iCs w:val="0"/>
                <w:color w:val="000000"/>
                <w:sz w:val="18"/>
                <w:szCs w:val="18"/>
                <w:u w:val="none"/>
                <w:lang w:val="en-US" w:eastAsia="zh-CN"/>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炭碗内每个棱缺损</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不大于其面积的1/2，每个炭碗内棱缺损不多于两处（小于1/3的忽略）</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面积大于1/</w:t>
            </w:r>
            <w:r>
              <w:rPr>
                <w:rFonts w:hint="eastAsia" w:ascii="宋体" w:hAnsi="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1/2,数量</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2个</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面积</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1/2,数量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2个</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炭碗底面凸台高度</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6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15mm</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高度误差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高度误差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4mm</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阳极大面积（长侧面）裂纹</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shd w:val="clear" w:color="auto" w:fill="auto"/>
                <w:lang w:val="en-US" w:eastAsia="zh-CN" w:bidi="ar"/>
              </w:rPr>
              <w:t>直线长度：不大于 300mm，最大宽度：不大于 1mm，数量：不多于 3处</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长度100mm</w:t>
            </w:r>
            <w:r>
              <w:rPr>
                <w:rFonts w:hint="eastAsia" w:ascii="宋体" w:hAnsi="宋体" w:cs="宋体"/>
                <w:i w:val="0"/>
                <w:iCs w:val="0"/>
                <w:color w:val="auto"/>
                <w:kern w:val="0"/>
                <w:sz w:val="18"/>
                <w:szCs w:val="18"/>
                <w:highlight w:val="none"/>
                <w:u w:val="none"/>
                <w:lang w:val="en-US" w:eastAsia="zh-CN" w:bidi="ar"/>
              </w:rPr>
              <w:t>＜x</w:t>
            </w:r>
            <w:r>
              <w:rPr>
                <w:rFonts w:hint="eastAsia" w:cs="宋体"/>
                <w:i w:val="0"/>
                <w:iCs w:val="0"/>
                <w:color w:val="auto"/>
                <w:kern w:val="0"/>
                <w:sz w:val="18"/>
                <w:szCs w:val="18"/>
                <w:highlight w:val="none"/>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00mm,宽度</w:t>
            </w:r>
            <w:r>
              <w:rPr>
                <w:rFonts w:hint="eastAsia" w:eastAsia="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 xml:space="preserve"> 1mm，数量</w:t>
            </w:r>
            <w:r>
              <w:rPr>
                <w:rFonts w:hint="eastAsia" w:eastAsia="宋体" w:cs="宋体"/>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850"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长度＞300mm,宽度＞ 1mm，数量≥3处</w:t>
            </w:r>
            <w:r>
              <w:rPr>
                <w:rFonts w:hint="eastAsia" w:ascii="宋体" w:hAnsi="宋体" w:cs="宋体"/>
                <w:i w:val="0"/>
                <w:iCs w:val="0"/>
                <w:color w:val="auto"/>
                <w:kern w:val="0"/>
                <w:sz w:val="18"/>
                <w:szCs w:val="18"/>
                <w:u w:val="none"/>
                <w:lang w:val="en-US" w:eastAsia="zh-CN" w:bidi="ar"/>
              </w:rPr>
              <w:t>，同时满足</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阳极端面裂纹</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直线长度：不大于 200mm，最大宽度：不大于 1mm，数量：不多于 2处</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长度100mm</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eastAsia="宋体" w:cs="宋体"/>
                <w:i w:val="0"/>
                <w:iCs w:val="0"/>
                <w:color w:val="000000"/>
                <w:kern w:val="0"/>
                <w:sz w:val="18"/>
                <w:szCs w:val="18"/>
                <w:u w:val="none"/>
                <w:lang w:val="en-US" w:eastAsia="zh-CN" w:bidi="ar"/>
              </w:rPr>
              <w:t>200mm,宽度</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1mm，数量</w:t>
            </w:r>
            <w:r>
              <w:rPr>
                <w:rFonts w:hint="eastAsia"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长度＞200mm,宽度＞ 1mm，数量≥2处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850"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阳极表面鼓包或缺损</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周长：不大于 300mm，高度或深度：不大于 20mm，数量：不多于 2处</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周长100mm</w:t>
            </w:r>
            <w:r>
              <w:rPr>
                <w:rFonts w:hint="eastAsia" w:ascii="宋体" w:hAnsi="宋体" w:cs="宋体"/>
                <w:i w:val="0"/>
                <w:iCs w:val="0"/>
                <w:color w:val="000000"/>
                <w:kern w:val="0"/>
                <w:sz w:val="18"/>
                <w:szCs w:val="18"/>
                <w:highlight w:val="none"/>
                <w:u w:val="none"/>
                <w:lang w:val="en-US" w:eastAsia="zh-CN" w:bidi="ar"/>
              </w:rPr>
              <w:t>＜x</w:t>
            </w:r>
            <w:r>
              <w:rPr>
                <w:rFonts w:hint="eastAsia" w:cs="宋体"/>
                <w:i w:val="0"/>
                <w:iCs w:val="0"/>
                <w:color w:val="000000"/>
                <w:kern w:val="0"/>
                <w:sz w:val="18"/>
                <w:szCs w:val="18"/>
                <w:highlight w:val="none"/>
                <w:u w:val="none"/>
                <w:lang w:val="en-US" w:eastAsia="zh-CN" w:bidi="ar"/>
              </w:rPr>
              <w:t>≤</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00mm,高度或深度</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20mm，数量</w:t>
            </w:r>
            <w:r>
              <w:rPr>
                <w:rFonts w:hint="eastAsia"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周长＞300mm,高度或深度＞ 20mm，数量＞2处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残极按单价的33%计算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阳极表面出现修补</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阳极表面没有出现修补</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阳极出现修补情况但可使用的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阳极出现修补情况不能使用的</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开槽</w:t>
            </w:r>
            <w:r>
              <w:rPr>
                <w:rFonts w:hint="eastAsia" w:ascii="宋体" w:hAnsi="宋体" w:cs="宋体"/>
                <w:i w:val="0"/>
                <w:iCs w:val="0"/>
                <w:color w:val="000000"/>
                <w:kern w:val="0"/>
                <w:sz w:val="18"/>
                <w:szCs w:val="18"/>
                <w:u w:val="none"/>
                <w:lang w:val="en-US" w:eastAsia="zh-CN" w:bidi="ar"/>
              </w:rPr>
              <w:t>问题</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符合图纸要求</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按图纸要求</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阳极外观倒角或其它尺寸</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符合图纸要求</w:t>
            </w:r>
          </w:p>
        </w:tc>
        <w:tc>
          <w:tcPr>
            <w:tcW w:w="161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超出图纸要求范围，但可使用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超出图纸要求范围，不可使用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炭碗间距符合阳极炭块尺寸要求</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符合图纸要求</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超出图纸要求范围，但可使用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超出图纸要求范围，不可使用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炭块长度、宽度</w:t>
            </w:r>
            <w:r>
              <w:rPr>
                <w:rFonts w:hint="eastAsia" w:ascii="宋体" w:hAnsi="宋体" w:cs="宋体"/>
                <w:i w:val="0"/>
                <w:iCs w:val="0"/>
                <w:color w:val="000000"/>
                <w:kern w:val="0"/>
                <w:sz w:val="18"/>
                <w:szCs w:val="18"/>
                <w:u w:val="none"/>
                <w:lang w:val="en-US" w:eastAsia="zh-CN" w:bidi="ar"/>
              </w:rPr>
              <w:t>、高度</w:t>
            </w:r>
          </w:p>
        </w:tc>
        <w:tc>
          <w:tcPr>
            <w:tcW w:w="1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符合图纸要求</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超出图纸要求范围，但可使用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超出图纸要求范围，不可使用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26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螺旋槽</w:t>
            </w:r>
          </w:p>
        </w:tc>
        <w:tc>
          <w:tcPr>
            <w:tcW w:w="196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符合图纸要求</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扣款</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超出图纸要求，但可使用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50元/吨</w:t>
            </w:r>
          </w:p>
        </w:tc>
      </w:tr>
      <w:tr>
        <w:tblPrEx>
          <w:tblCellMar>
            <w:top w:w="0" w:type="dxa"/>
            <w:left w:w="108" w:type="dxa"/>
            <w:bottom w:w="0" w:type="dxa"/>
            <w:right w:w="108" w:type="dxa"/>
          </w:tblCellMar>
        </w:tblPrEx>
        <w:trPr>
          <w:trHeight w:val="567" w:hRule="exact"/>
        </w:trPr>
        <w:tc>
          <w:tcPr>
            <w:tcW w:w="58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96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退货或按残极处理</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超出图纸要求范围，不可使用</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残极按单价的3</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%计算</w:t>
            </w:r>
          </w:p>
        </w:tc>
      </w:tr>
      <w:tr>
        <w:tblPrEx>
          <w:tblCellMar>
            <w:top w:w="0" w:type="dxa"/>
            <w:left w:w="108" w:type="dxa"/>
            <w:bottom w:w="0" w:type="dxa"/>
            <w:right w:w="108" w:type="dxa"/>
          </w:tblCellMar>
        </w:tblPrEx>
        <w:trPr>
          <w:trHeight w:val="567" w:hRule="exact"/>
        </w:trPr>
        <w:tc>
          <w:tcPr>
            <w:tcW w:w="585"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19</w:t>
            </w:r>
          </w:p>
        </w:tc>
        <w:tc>
          <w:tcPr>
            <w:tcW w:w="1260"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阳极单重</w:t>
            </w:r>
          </w:p>
        </w:tc>
        <w:tc>
          <w:tcPr>
            <w:tcW w:w="1963" w:type="dxa"/>
            <w:vMerge w:val="restart"/>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符合重量要求</w:t>
            </w:r>
          </w:p>
        </w:tc>
        <w:tc>
          <w:tcPr>
            <w:tcW w:w="161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扣款/扣减重量</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超出重量误差值</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将扣减超出误差值的部分，不计重不结算</w:t>
            </w:r>
          </w:p>
        </w:tc>
      </w:tr>
      <w:tr>
        <w:tblPrEx>
          <w:tblCellMar>
            <w:top w:w="0" w:type="dxa"/>
            <w:left w:w="108" w:type="dxa"/>
            <w:bottom w:w="0" w:type="dxa"/>
            <w:right w:w="108" w:type="dxa"/>
          </w:tblCellMar>
        </w:tblPrEx>
        <w:trPr>
          <w:trHeight w:val="387" w:hRule="atLeast"/>
        </w:trPr>
        <w:tc>
          <w:tcPr>
            <w:tcW w:w="58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p>
        </w:tc>
        <w:tc>
          <w:tcPr>
            <w:tcW w:w="126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p>
        </w:tc>
        <w:tc>
          <w:tcPr>
            <w:tcW w:w="196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p>
        </w:tc>
        <w:tc>
          <w:tcPr>
            <w:tcW w:w="161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8"/>
                <w:szCs w:val="18"/>
                <w:u w:val="none"/>
                <w:lang w:val="en-US" w:eastAsia="zh-CN" w:bidi="ar"/>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低于重量误差值</w:t>
            </w:r>
          </w:p>
        </w:tc>
        <w:tc>
          <w:tcPr>
            <w:tcW w:w="2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元/吨</w:t>
            </w:r>
          </w:p>
        </w:tc>
      </w:tr>
      <w:tr>
        <w:tblPrEx>
          <w:tblCellMar>
            <w:top w:w="0" w:type="dxa"/>
            <w:left w:w="108" w:type="dxa"/>
            <w:bottom w:w="0" w:type="dxa"/>
            <w:right w:w="108" w:type="dxa"/>
          </w:tblCellMar>
        </w:tblPrEx>
        <w:trPr>
          <w:trHeight w:val="643" w:hRule="atLeast"/>
        </w:trPr>
        <w:tc>
          <w:tcPr>
            <w:tcW w:w="9991" w:type="dxa"/>
            <w:gridSpan w:val="6"/>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交货的品种、质量等不符合合同规定的按细则处理</w:t>
            </w:r>
            <w:r>
              <w:rPr>
                <w:rFonts w:hint="eastAsia" w:eastAsia="宋体" w:cs="宋体"/>
                <w:i w:val="0"/>
                <w:iCs w:val="0"/>
                <w:color w:val="000000"/>
                <w:kern w:val="0"/>
                <w:sz w:val="18"/>
                <w:szCs w:val="18"/>
                <w:u w:val="none"/>
                <w:lang w:val="en-US" w:eastAsia="zh-CN" w:bidi="ar"/>
              </w:rPr>
              <w:t>。</w:t>
            </w:r>
          </w:p>
        </w:tc>
      </w:tr>
    </w:tbl>
    <w:p>
      <w:pPr>
        <w:spacing w:before="156" w:beforeLines="50" w:after="156" w:afterLines="50" w:line="360" w:lineRule="auto"/>
        <w:outlineLvl w:val="1"/>
        <w:rPr>
          <w:rFonts w:hint="eastAsia" w:eastAsia="宋体"/>
          <w:b/>
          <w:color w:val="auto"/>
          <w:kern w:val="10"/>
          <w:sz w:val="24"/>
          <w:highlight w:val="none"/>
          <w:lang w:eastAsia="zh-CN"/>
        </w:rPr>
      </w:pPr>
      <w:bookmarkStart w:id="4" w:name="_Toc7211"/>
      <w:r>
        <w:rPr>
          <w:rFonts w:hint="eastAsia" w:ascii="宋体" w:hAnsi="宋体" w:cs="Times New Roman"/>
          <w:b/>
          <w:kern w:val="10"/>
          <w:sz w:val="24"/>
          <w:lang w:val="en-US" w:eastAsia="zh-CN"/>
        </w:rPr>
        <w:t>6</w:t>
      </w:r>
      <w:r>
        <w:rPr>
          <w:rFonts w:hint="eastAsia"/>
          <w:b/>
          <w:color w:val="auto"/>
          <w:kern w:val="10"/>
          <w:sz w:val="24"/>
          <w:highlight w:val="none"/>
          <w:lang w:val="en-US" w:eastAsia="zh-CN"/>
        </w:rPr>
        <w:t xml:space="preserve"> </w:t>
      </w:r>
      <w:r>
        <w:rPr>
          <w:rFonts w:hint="eastAsia"/>
          <w:b/>
          <w:color w:val="auto"/>
          <w:kern w:val="10"/>
          <w:sz w:val="24"/>
          <w:highlight w:val="none"/>
        </w:rPr>
        <w:t>检验频次</w:t>
      </w:r>
      <w:r>
        <w:rPr>
          <w:rFonts w:hint="eastAsia"/>
          <w:b/>
          <w:color w:val="auto"/>
          <w:kern w:val="10"/>
          <w:sz w:val="24"/>
          <w:highlight w:val="none"/>
          <w:lang w:eastAsia="zh-CN"/>
        </w:rPr>
        <w:t>及取样方法</w:t>
      </w:r>
      <w:bookmarkEnd w:id="4"/>
    </w:p>
    <w:p>
      <w:pPr>
        <w:spacing w:line="360" w:lineRule="auto"/>
        <w:rPr>
          <w:rFonts w:hint="eastAsia" w:ascii="宋体" w:hAnsi="宋体" w:eastAsia="宋体" w:cs="宋体"/>
          <w:kern w:val="10"/>
          <w:sz w:val="24"/>
          <w:highlight w:val="none"/>
          <w:lang w:val="en-US" w:eastAsia="zh-CN"/>
        </w:rPr>
      </w:pPr>
      <w:r>
        <w:rPr>
          <w:rFonts w:hint="eastAsia" w:ascii="宋体" w:hAnsi="宋体" w:cs="宋体"/>
          <w:color w:val="auto"/>
          <w:kern w:val="10"/>
          <w:sz w:val="24"/>
          <w:highlight w:val="none"/>
          <w:lang w:val="en-US" w:eastAsia="zh-CN"/>
        </w:rPr>
        <w:t>6</w:t>
      </w:r>
      <w:r>
        <w:rPr>
          <w:rFonts w:hint="eastAsia" w:ascii="宋体" w:hAnsi="宋体" w:eastAsia="宋体" w:cs="宋体"/>
          <w:color w:val="auto"/>
          <w:kern w:val="10"/>
          <w:sz w:val="24"/>
          <w:highlight w:val="none"/>
          <w:lang w:val="en-US" w:eastAsia="zh-CN"/>
        </w:rPr>
        <w:t>.1 外观质量：预焙阳极外观质量逐块检验，规格尺寸抽检与取样同步进行。每批（300块/批）抽检4-6块，当出现质量问题时，增加抽检量，每批（300块/批）抽检20块</w:t>
      </w:r>
      <w:r>
        <w:rPr>
          <w:rFonts w:hint="eastAsia" w:ascii="宋体" w:hAnsi="宋体" w:eastAsia="宋体" w:cs="宋体"/>
          <w:color w:val="auto"/>
          <w:kern w:val="10"/>
          <w:sz w:val="24"/>
          <w:highlight w:val="none"/>
          <w:lang w:val="en-US" w:eastAsia="zh-CN"/>
        </w:rPr>
        <w:commentReference w:id="0"/>
      </w:r>
      <w:r>
        <w:rPr>
          <w:rFonts w:hint="eastAsia" w:ascii="宋体" w:hAnsi="宋体" w:eastAsia="宋体" w:cs="宋体"/>
          <w:color w:val="auto"/>
          <w:kern w:val="10"/>
          <w:sz w:val="24"/>
          <w:highlight w:val="none"/>
          <w:lang w:val="en-US" w:eastAsia="zh-CN"/>
        </w:rPr>
        <w:t>，合格率达到80%，只判定单块不合格，未达达80%判定该批次不合格。</w:t>
      </w:r>
    </w:p>
    <w:p>
      <w:pPr>
        <w:spacing w:line="360" w:lineRule="auto"/>
        <w:rPr>
          <w:rFonts w:hint="eastAsia" w:ascii="宋体" w:hAnsi="宋体" w:cs="宋体"/>
          <w:color w:val="auto"/>
          <w:kern w:val="10"/>
          <w:sz w:val="24"/>
          <w:highlight w:val="none"/>
          <w:lang w:val="en-US" w:eastAsia="zh-CN"/>
        </w:rPr>
      </w:pPr>
      <w:r>
        <w:rPr>
          <w:rFonts w:hint="eastAsia" w:ascii="宋体" w:hAnsi="宋体" w:cs="宋体"/>
          <w:color w:val="auto"/>
          <w:kern w:val="10"/>
          <w:sz w:val="24"/>
          <w:highlight w:val="none"/>
          <w:lang w:val="en-US" w:eastAsia="zh-CN"/>
        </w:rPr>
        <w:t>6.2 阳极炭块单块重量计算方法：根据不同供应商，采用常规理化指标组批检验批次进行计算，单块重量=该批理化指标组批批次中各车重量合计（我方过磅净重）/该批次炭块块数。计算出来的单块重量符合合同规定的单块重量要求时，该批次炭块所有块数判定为合格，否则判定该批次炭块所有块数为不合格（单位为块）。当质量出现异常时，卸车后使用方可随机对阳极炭块进行单块重量抽测并进行判定。</w:t>
      </w:r>
    </w:p>
    <w:p>
      <w:pPr>
        <w:spacing w:line="360" w:lineRule="auto"/>
        <w:rPr>
          <w:rFonts w:hint="eastAsia" w:ascii="宋体" w:hAnsi="宋体" w:eastAsia="宋体" w:cs="宋体"/>
          <w:kern w:val="10"/>
          <w:sz w:val="24"/>
          <w:highlight w:val="none"/>
          <w:lang w:val="en-US" w:eastAsia="zh-CN"/>
        </w:rPr>
      </w:pPr>
      <w:r>
        <w:rPr>
          <w:rFonts w:hint="eastAsia" w:ascii="宋体" w:hAnsi="宋体" w:cs="宋体"/>
          <w:color w:val="auto"/>
          <w:kern w:val="10"/>
          <w:sz w:val="24"/>
          <w:highlight w:val="none"/>
          <w:lang w:val="en-US" w:eastAsia="zh-CN"/>
        </w:rPr>
        <w:t>6</w:t>
      </w:r>
      <w:r>
        <w:rPr>
          <w:rFonts w:hint="eastAsia" w:ascii="宋体" w:hAnsi="宋体" w:eastAsia="宋体" w:cs="宋体"/>
          <w:color w:val="auto"/>
          <w:kern w:val="10"/>
          <w:sz w:val="24"/>
          <w:highlight w:val="none"/>
          <w:lang w:val="en-US" w:eastAsia="zh-CN"/>
        </w:rPr>
        <w:t>.</w:t>
      </w:r>
      <w:r>
        <w:rPr>
          <w:rFonts w:hint="eastAsia" w:ascii="宋体" w:hAnsi="宋体" w:cs="宋体"/>
          <w:color w:val="auto"/>
          <w:kern w:val="10"/>
          <w:sz w:val="24"/>
          <w:highlight w:val="none"/>
          <w:lang w:val="en-US" w:eastAsia="zh-CN"/>
        </w:rPr>
        <w:t>3</w:t>
      </w:r>
      <w:r>
        <w:rPr>
          <w:rFonts w:hint="eastAsia" w:ascii="宋体" w:hAnsi="宋体" w:eastAsia="宋体" w:cs="宋体"/>
          <w:kern w:val="10"/>
          <w:sz w:val="24"/>
          <w:highlight w:val="none"/>
          <w:lang w:val="en-US" w:eastAsia="zh-CN"/>
        </w:rPr>
        <w:t xml:space="preserve">  预焙阳极理化性能检验：表观密度、耐压强度、室温电阻率、灰分、硫含量等常规指标，按不同供方分别以不大于300块组批抽检一次，</w:t>
      </w:r>
      <w:r>
        <w:rPr>
          <w:rFonts w:hint="eastAsia" w:ascii="宋体" w:hAnsi="宋体" w:cs="宋体"/>
          <w:kern w:val="10"/>
          <w:sz w:val="24"/>
          <w:highlight w:val="none"/>
          <w:lang w:val="en-US" w:eastAsia="zh-CN"/>
        </w:rPr>
        <w:t>供方每批/每月</w:t>
      </w:r>
      <w:r>
        <w:rPr>
          <w:rFonts w:hint="eastAsia" w:ascii="宋体" w:hAnsi="宋体" w:cs="宋体"/>
          <w:kern w:val="10"/>
          <w:sz w:val="24"/>
          <w:szCs w:val="24"/>
          <w:highlight w:val="none"/>
          <w:lang w:val="en-US" w:eastAsia="zh-CN"/>
        </w:rPr>
        <w:t>约定供应量≤1000吨时</w:t>
      </w:r>
      <w:r>
        <w:rPr>
          <w:rFonts w:hint="eastAsia" w:ascii="宋体" w:hAnsi="宋体" w:eastAsia="宋体" w:cs="宋体"/>
          <w:kern w:val="10"/>
          <w:sz w:val="24"/>
          <w:highlight w:val="none"/>
          <w:lang w:val="en-US" w:eastAsia="zh-CN"/>
        </w:rPr>
        <w:t>以不大于300块组批抽检一次</w:t>
      </w:r>
      <w:r>
        <w:rPr>
          <w:rFonts w:hint="eastAsia" w:ascii="宋体" w:hAnsi="宋体" w:cs="宋体"/>
          <w:kern w:val="10"/>
          <w:sz w:val="24"/>
          <w:szCs w:val="24"/>
          <w:highlight w:val="none"/>
          <w:lang w:val="en-US" w:eastAsia="zh-CN"/>
        </w:rPr>
        <w:t>，</w:t>
      </w:r>
      <w:r>
        <w:rPr>
          <w:rFonts w:hint="eastAsia" w:ascii="宋体" w:hAnsi="宋体" w:eastAsia="宋体" w:cs="宋体"/>
          <w:kern w:val="10"/>
          <w:sz w:val="24"/>
          <w:highlight w:val="none"/>
          <w:lang w:val="en-US" w:eastAsia="zh-CN"/>
        </w:rPr>
        <w:t>当抽检过程中连续3批次不合格时，转为加严抽检，每100块抽检1次，当加严抽检连续5批次均合格时，由加严抽检转为正常抽验，即不大于300块组批抽检一次；对于新到货供应商钒含量与常规指标同步抽检</w:t>
      </w:r>
      <w:bookmarkStart w:id="5" w:name="_GoBack"/>
      <w:bookmarkEnd w:id="5"/>
      <w:r>
        <w:rPr>
          <w:rFonts w:hint="eastAsia" w:ascii="宋体" w:hAnsi="宋体" w:eastAsia="宋体" w:cs="宋体"/>
          <w:kern w:val="10"/>
          <w:sz w:val="24"/>
          <w:highlight w:val="none"/>
          <w:lang w:val="en-US" w:eastAsia="zh-CN"/>
        </w:rPr>
        <w:t>，当连续5批次抽检合格后转为按照正常供货厂家抽样，每月抽检2次（不大于600块），当抽检不合格时，转为按照常规指标抽检频次进行加严抽检，直到连续3批次抽检合格后再转为按照不大于600块。对于真密度、CO2反应性、抗折强度、热膨胀系数等我公司暂未配备检测设备的理化指标，根据生产运行情况，不定时抽样外检，具体抽样时间以具体通知为准。</w:t>
      </w:r>
    </w:p>
    <w:p>
      <w:pPr>
        <w:spacing w:line="360" w:lineRule="auto"/>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highlight w:val="none"/>
          <w:lang w:val="en-US" w:eastAsia="zh-CN"/>
        </w:rPr>
        <w:t>6</w:t>
      </w:r>
      <w:r>
        <w:rPr>
          <w:rFonts w:hint="eastAsia" w:ascii="宋体" w:hAnsi="宋体" w:eastAsia="宋体" w:cs="宋体"/>
          <w:color w:val="auto"/>
          <w:kern w:val="10"/>
          <w:sz w:val="24"/>
          <w:highlight w:val="none"/>
          <w:lang w:val="en-US" w:eastAsia="zh-CN"/>
        </w:rPr>
        <w:t>.</w:t>
      </w:r>
      <w:r>
        <w:rPr>
          <w:rFonts w:hint="eastAsia" w:ascii="宋体" w:hAnsi="宋体" w:cs="宋体"/>
          <w:color w:val="auto"/>
          <w:kern w:val="10"/>
          <w:sz w:val="24"/>
          <w:highlight w:val="none"/>
          <w:lang w:val="en-US" w:eastAsia="zh-CN"/>
        </w:rPr>
        <w:t>4</w:t>
      </w:r>
      <w:r>
        <w:rPr>
          <w:rFonts w:hint="eastAsia" w:ascii="宋体" w:hAnsi="宋体" w:eastAsia="宋体" w:cs="宋体"/>
          <w:color w:val="auto"/>
          <w:kern w:val="10"/>
          <w:sz w:val="24"/>
          <w:szCs w:val="24"/>
          <w:highlight w:val="none"/>
          <w:lang w:val="en-US" w:eastAsia="zh-CN"/>
        </w:rPr>
        <w:t xml:space="preserve"> 取样方法：</w:t>
      </w:r>
      <w:r>
        <w:rPr>
          <w:rFonts w:hint="eastAsia" w:ascii="宋体" w:hAnsi="宋体" w:eastAsia="宋体" w:cs="宋体"/>
          <w:color w:val="auto"/>
          <w:kern w:val="10"/>
          <w:sz w:val="24"/>
          <w:szCs w:val="24"/>
          <w:highlight w:val="none"/>
          <w:lang w:eastAsia="zh-CN"/>
        </w:rPr>
        <w:t>用取样机在阳极炭块底部钻取试样，若遇到底部开槽炭块，视开槽情况在底部合理布置取样点，取样点的布置不得损坏炭块的正常使用。</w:t>
      </w:r>
      <w:r>
        <w:rPr>
          <w:rFonts w:hint="eastAsia" w:ascii="宋体" w:hAnsi="宋体" w:eastAsia="宋体" w:cs="宋体"/>
          <w:color w:val="auto"/>
          <w:kern w:val="10"/>
          <w:sz w:val="24"/>
          <w:szCs w:val="24"/>
          <w:highlight w:val="none"/>
          <w:lang w:val="en-US" w:eastAsia="zh-CN"/>
        </w:rPr>
        <w:t>如出现样品检测不合格，在第一个样取样点10cm范围内再取一个样品进行复检。</w:t>
      </w:r>
      <w:r>
        <w:rPr>
          <w:rFonts w:hint="eastAsia" w:ascii="宋体" w:hAnsi="宋体" w:eastAsia="宋体" w:cs="宋体"/>
          <w:color w:val="auto"/>
          <w:kern w:val="10"/>
          <w:sz w:val="24"/>
          <w:szCs w:val="24"/>
          <w:highlight w:val="none"/>
          <w:lang w:eastAsia="zh-CN"/>
        </w:rPr>
        <w:t>钻取的试样直径约55mm,长度应不小于160mm，试样要求外观完整，无肉眼可见裂纹。</w:t>
      </w:r>
      <w:r>
        <w:rPr>
          <w:rFonts w:hint="eastAsia" w:ascii="宋体" w:hAnsi="宋体" w:eastAsia="宋体" w:cs="宋体"/>
          <w:color w:val="auto"/>
          <w:kern w:val="10"/>
          <w:sz w:val="24"/>
          <w:szCs w:val="24"/>
          <w:highlight w:val="none"/>
          <w:lang w:val="en-US" w:eastAsia="zh-CN"/>
        </w:rPr>
        <w:t>如第一</w:t>
      </w:r>
      <w:r>
        <w:rPr>
          <w:rFonts w:hint="eastAsia" w:ascii="宋体" w:hAnsi="宋体" w:cs="宋体"/>
          <w:color w:val="auto"/>
          <w:kern w:val="10"/>
          <w:sz w:val="24"/>
          <w:szCs w:val="24"/>
          <w:highlight w:val="none"/>
          <w:lang w:val="en-US" w:eastAsia="zh-CN"/>
        </w:rPr>
        <w:t>块钻取的</w:t>
      </w:r>
      <w:r>
        <w:rPr>
          <w:rFonts w:hint="eastAsia" w:ascii="宋体" w:hAnsi="宋体" w:eastAsia="宋体" w:cs="宋体"/>
          <w:color w:val="auto"/>
          <w:kern w:val="10"/>
          <w:sz w:val="24"/>
          <w:szCs w:val="24"/>
          <w:highlight w:val="none"/>
          <w:lang w:val="en-US" w:eastAsia="zh-CN"/>
        </w:rPr>
        <w:t>试样出现</w:t>
      </w:r>
      <w:r>
        <w:rPr>
          <w:rFonts w:hint="eastAsia" w:ascii="宋体" w:hAnsi="宋体" w:eastAsia="宋体" w:cs="宋体"/>
          <w:color w:val="auto"/>
          <w:kern w:val="10"/>
          <w:sz w:val="24"/>
          <w:szCs w:val="24"/>
          <w:highlight w:val="none"/>
          <w:lang w:eastAsia="zh-CN"/>
        </w:rPr>
        <w:t>肉眼可见裂纹，</w:t>
      </w:r>
      <w:r>
        <w:rPr>
          <w:rFonts w:hint="eastAsia" w:ascii="宋体" w:hAnsi="宋体" w:eastAsia="宋体" w:cs="宋体"/>
          <w:color w:val="auto"/>
          <w:kern w:val="10"/>
          <w:sz w:val="24"/>
          <w:szCs w:val="24"/>
          <w:highlight w:val="none"/>
          <w:lang w:val="en-US" w:eastAsia="zh-CN"/>
        </w:rPr>
        <w:t>则判定</w:t>
      </w:r>
      <w:r>
        <w:rPr>
          <w:rFonts w:hint="eastAsia" w:ascii="宋体" w:hAnsi="宋体" w:cs="宋体"/>
          <w:color w:val="auto"/>
          <w:kern w:val="10"/>
          <w:sz w:val="24"/>
          <w:szCs w:val="24"/>
          <w:highlight w:val="none"/>
          <w:lang w:val="en-US" w:eastAsia="zh-CN"/>
        </w:rPr>
        <w:t>该</w:t>
      </w:r>
      <w:r>
        <w:rPr>
          <w:rFonts w:hint="eastAsia" w:ascii="宋体" w:hAnsi="宋体" w:eastAsia="宋体" w:cs="宋体"/>
          <w:color w:val="auto"/>
          <w:kern w:val="10"/>
          <w:sz w:val="24"/>
          <w:szCs w:val="24"/>
          <w:highlight w:val="none"/>
          <w:lang w:val="en-US" w:eastAsia="zh-CN"/>
        </w:rPr>
        <w:t>炭块不合格，换另一块炭块取样，再出现肉眼可见裂纹，则判定本批炭块不合格。</w:t>
      </w:r>
    </w:p>
    <w:p>
      <w:pPr>
        <w:spacing w:line="360" w:lineRule="auto"/>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highlight w:val="none"/>
          <w:lang w:val="en-US" w:eastAsia="zh-CN"/>
        </w:rPr>
        <w:t>6</w:t>
      </w:r>
      <w:r>
        <w:rPr>
          <w:rFonts w:hint="eastAsia" w:ascii="宋体" w:hAnsi="宋体" w:eastAsia="宋体" w:cs="宋体"/>
          <w:color w:val="auto"/>
          <w:kern w:val="10"/>
          <w:sz w:val="24"/>
          <w:highlight w:val="none"/>
          <w:lang w:val="en-US" w:eastAsia="zh-CN"/>
        </w:rPr>
        <w:t>.</w:t>
      </w:r>
      <w:r>
        <w:rPr>
          <w:rFonts w:hint="eastAsia" w:ascii="宋体" w:hAnsi="宋体" w:cs="宋体"/>
          <w:color w:val="auto"/>
          <w:kern w:val="10"/>
          <w:sz w:val="24"/>
          <w:highlight w:val="none"/>
          <w:lang w:val="en-US" w:eastAsia="zh-CN"/>
        </w:rPr>
        <w:t>5</w:t>
      </w:r>
      <w:r>
        <w:rPr>
          <w:rFonts w:hint="eastAsia" w:ascii="宋体" w:hAnsi="宋体" w:eastAsia="宋体" w:cs="宋体"/>
          <w:color w:val="auto"/>
          <w:kern w:val="10"/>
          <w:sz w:val="24"/>
          <w:szCs w:val="24"/>
          <w:highlight w:val="none"/>
          <w:lang w:val="en-US" w:eastAsia="zh-CN"/>
        </w:rPr>
        <w:t>供需双方在验收过程中就质量问题发生争议时，由双方共同抽样（在原取样点附近10cm范围内取样）、封样并共同委托双方认可权威机构进行仲裁检验，</w:t>
      </w:r>
      <w:r>
        <w:rPr>
          <w:rFonts w:hint="eastAsia" w:ascii="宋体" w:hAnsi="宋体" w:cs="宋体"/>
          <w:color w:val="auto"/>
          <w:kern w:val="10"/>
          <w:sz w:val="24"/>
          <w:szCs w:val="24"/>
          <w:highlight w:val="none"/>
          <w:lang w:val="en-US" w:eastAsia="zh-CN"/>
        </w:rPr>
        <w:t>当委托检测结果与第一次检测结果误差要求范围内的，以第一次检测结果为最终结果进行结算，当检测结果与第一次检测结果误差超出误差范围的，</w:t>
      </w:r>
      <w:r>
        <w:rPr>
          <w:rFonts w:hint="eastAsia" w:ascii="宋体" w:hAnsi="宋体" w:eastAsia="宋体" w:cs="宋体"/>
          <w:color w:val="auto"/>
          <w:kern w:val="10"/>
          <w:sz w:val="24"/>
          <w:szCs w:val="24"/>
          <w:highlight w:val="none"/>
          <w:lang w:val="en-US" w:eastAsia="zh-CN"/>
        </w:rPr>
        <w:t>以仲裁结果为最终结果</w:t>
      </w:r>
      <w:r>
        <w:rPr>
          <w:rFonts w:hint="eastAsia" w:ascii="宋体" w:hAnsi="宋体" w:cs="宋体"/>
          <w:color w:val="auto"/>
          <w:kern w:val="10"/>
          <w:sz w:val="24"/>
          <w:szCs w:val="24"/>
          <w:highlight w:val="none"/>
          <w:lang w:val="en-US" w:eastAsia="zh-CN"/>
        </w:rPr>
        <w:t>进行结算</w:t>
      </w:r>
      <w:r>
        <w:rPr>
          <w:rFonts w:hint="eastAsia" w:ascii="宋体" w:hAnsi="宋体" w:eastAsia="宋体" w:cs="宋体"/>
          <w:color w:val="auto"/>
          <w:kern w:val="10"/>
          <w:sz w:val="24"/>
          <w:szCs w:val="24"/>
          <w:highlight w:val="none"/>
          <w:lang w:val="en-US" w:eastAsia="zh-CN"/>
        </w:rPr>
        <w:t>，检验费用由</w:t>
      </w:r>
      <w:r>
        <w:rPr>
          <w:rFonts w:hint="eastAsia" w:ascii="宋体" w:hAnsi="宋体" w:cs="宋体"/>
          <w:color w:val="auto"/>
          <w:kern w:val="10"/>
          <w:sz w:val="24"/>
          <w:szCs w:val="24"/>
          <w:highlight w:val="none"/>
          <w:lang w:val="en-US" w:eastAsia="zh-CN"/>
        </w:rPr>
        <w:t>责任</w:t>
      </w:r>
      <w:r>
        <w:rPr>
          <w:rFonts w:hint="eastAsia" w:ascii="宋体" w:hAnsi="宋体" w:eastAsia="宋体" w:cs="宋体"/>
          <w:color w:val="auto"/>
          <w:kern w:val="10"/>
          <w:sz w:val="24"/>
          <w:szCs w:val="24"/>
          <w:highlight w:val="none"/>
          <w:lang w:val="en-US" w:eastAsia="zh-CN"/>
        </w:rPr>
        <w:t>方承担。</w:t>
      </w:r>
    </w:p>
    <w:p>
      <w:pPr>
        <w:pStyle w:val="2"/>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紫千红" w:date="2022-08-16T16:45:55Z" w:initials="">
    <w:p w14:paraId="43635D7D">
      <w:pPr>
        <w:pStyle w:val="3"/>
        <w:rPr>
          <w:rFonts w:hint="default" w:eastAsia="宋体"/>
          <w:lang w:val="en-US" w:eastAsia="zh-CN"/>
        </w:rPr>
      </w:pPr>
      <w:r>
        <w:rPr>
          <w:rFonts w:hint="eastAsia"/>
          <w:lang w:val="en-US" w:eastAsia="zh-CN"/>
        </w:rPr>
        <w:t>当出现不合格时，增加抽检8-10块依然不合格时，是否计算该批次均不合格？还是需要增加抽检频次？全检后再判定工作量较大。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635D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紫千红">
    <w15:presenceInfo w15:providerId="WPS Office" w15:userId="1692035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TlmMTJhYmI2Mjk1OTQwMDczZTE2ZDcyZDdkNGYifQ=="/>
  </w:docVars>
  <w:rsids>
    <w:rsidRoot w:val="00000000"/>
    <w:rsid w:val="00972457"/>
    <w:rsid w:val="00B2494E"/>
    <w:rsid w:val="00BE18D7"/>
    <w:rsid w:val="01395070"/>
    <w:rsid w:val="01527EDF"/>
    <w:rsid w:val="01BB5A85"/>
    <w:rsid w:val="01F571E8"/>
    <w:rsid w:val="02924A37"/>
    <w:rsid w:val="029F0F02"/>
    <w:rsid w:val="02B01361"/>
    <w:rsid w:val="037339E3"/>
    <w:rsid w:val="03986259"/>
    <w:rsid w:val="03B7227C"/>
    <w:rsid w:val="041B0A5C"/>
    <w:rsid w:val="04335DA6"/>
    <w:rsid w:val="04391CD4"/>
    <w:rsid w:val="04812FB5"/>
    <w:rsid w:val="05634469"/>
    <w:rsid w:val="05E355AA"/>
    <w:rsid w:val="05EC0902"/>
    <w:rsid w:val="06DD649D"/>
    <w:rsid w:val="06FD269B"/>
    <w:rsid w:val="07025E2D"/>
    <w:rsid w:val="07231DE6"/>
    <w:rsid w:val="0748600C"/>
    <w:rsid w:val="07DB0C2F"/>
    <w:rsid w:val="07DE24CD"/>
    <w:rsid w:val="083112AF"/>
    <w:rsid w:val="0889068B"/>
    <w:rsid w:val="08CC67C9"/>
    <w:rsid w:val="095276EA"/>
    <w:rsid w:val="097C3D4B"/>
    <w:rsid w:val="099C263F"/>
    <w:rsid w:val="09A6526C"/>
    <w:rsid w:val="09B039F5"/>
    <w:rsid w:val="09DF606D"/>
    <w:rsid w:val="0A4A209B"/>
    <w:rsid w:val="0AB85257"/>
    <w:rsid w:val="0ACB31DC"/>
    <w:rsid w:val="0B5539B8"/>
    <w:rsid w:val="0BB27EF8"/>
    <w:rsid w:val="0BC55E7E"/>
    <w:rsid w:val="0BE36304"/>
    <w:rsid w:val="0C3C56CF"/>
    <w:rsid w:val="0C61547A"/>
    <w:rsid w:val="0DE14AC5"/>
    <w:rsid w:val="0DF01E5A"/>
    <w:rsid w:val="0E455054"/>
    <w:rsid w:val="0E4A4418"/>
    <w:rsid w:val="0E5533B0"/>
    <w:rsid w:val="0E736D32"/>
    <w:rsid w:val="0F825E34"/>
    <w:rsid w:val="0FE32D76"/>
    <w:rsid w:val="0FEB2196"/>
    <w:rsid w:val="0FFC7994"/>
    <w:rsid w:val="10AD5132"/>
    <w:rsid w:val="117A3266"/>
    <w:rsid w:val="12130FC5"/>
    <w:rsid w:val="125C0BBE"/>
    <w:rsid w:val="129168E1"/>
    <w:rsid w:val="12D13E0C"/>
    <w:rsid w:val="13A24CF6"/>
    <w:rsid w:val="13C7650B"/>
    <w:rsid w:val="15EC2259"/>
    <w:rsid w:val="16D8458B"/>
    <w:rsid w:val="17C66B12"/>
    <w:rsid w:val="19024052"/>
    <w:rsid w:val="1A2577BE"/>
    <w:rsid w:val="1A7D3400"/>
    <w:rsid w:val="1AAE5D2F"/>
    <w:rsid w:val="1AFC4CEC"/>
    <w:rsid w:val="1B100797"/>
    <w:rsid w:val="1B495729"/>
    <w:rsid w:val="1B9413C8"/>
    <w:rsid w:val="1BB31D3F"/>
    <w:rsid w:val="1BE75582"/>
    <w:rsid w:val="1CEB14BC"/>
    <w:rsid w:val="1D631052"/>
    <w:rsid w:val="1DD75923"/>
    <w:rsid w:val="1E081BFA"/>
    <w:rsid w:val="1E3824DF"/>
    <w:rsid w:val="1E6037E4"/>
    <w:rsid w:val="1EE2244B"/>
    <w:rsid w:val="1FC3227C"/>
    <w:rsid w:val="1FDF3FD0"/>
    <w:rsid w:val="20EC5803"/>
    <w:rsid w:val="20F3093F"/>
    <w:rsid w:val="214C004F"/>
    <w:rsid w:val="216A5F37"/>
    <w:rsid w:val="217952E8"/>
    <w:rsid w:val="21FE134A"/>
    <w:rsid w:val="24257BFD"/>
    <w:rsid w:val="24D91E5B"/>
    <w:rsid w:val="24E70EDE"/>
    <w:rsid w:val="24EA2059"/>
    <w:rsid w:val="255B2F57"/>
    <w:rsid w:val="256C6F12"/>
    <w:rsid w:val="25F506D0"/>
    <w:rsid w:val="264E443C"/>
    <w:rsid w:val="266D6A9E"/>
    <w:rsid w:val="27221F7E"/>
    <w:rsid w:val="27856069"/>
    <w:rsid w:val="27CD7B8F"/>
    <w:rsid w:val="27F52125"/>
    <w:rsid w:val="28D3610D"/>
    <w:rsid w:val="28EF40E2"/>
    <w:rsid w:val="29121B7F"/>
    <w:rsid w:val="29202FD3"/>
    <w:rsid w:val="29802F8C"/>
    <w:rsid w:val="2A7C3754"/>
    <w:rsid w:val="2A8B7E3A"/>
    <w:rsid w:val="2B163BA8"/>
    <w:rsid w:val="2B397896"/>
    <w:rsid w:val="2B434271"/>
    <w:rsid w:val="2B512E32"/>
    <w:rsid w:val="2C153E60"/>
    <w:rsid w:val="2D7D16EA"/>
    <w:rsid w:val="2DAD4A28"/>
    <w:rsid w:val="2DB25A15"/>
    <w:rsid w:val="2E642E7C"/>
    <w:rsid w:val="2E7A0A12"/>
    <w:rsid w:val="2E903C71"/>
    <w:rsid w:val="2ED43E1F"/>
    <w:rsid w:val="2F113003"/>
    <w:rsid w:val="2FAF1ED5"/>
    <w:rsid w:val="2FD91648"/>
    <w:rsid w:val="30FB364B"/>
    <w:rsid w:val="30FE1366"/>
    <w:rsid w:val="33380434"/>
    <w:rsid w:val="335A5FF4"/>
    <w:rsid w:val="3381002D"/>
    <w:rsid w:val="34533777"/>
    <w:rsid w:val="346F4329"/>
    <w:rsid w:val="350519CA"/>
    <w:rsid w:val="358022C8"/>
    <w:rsid w:val="35AD6EB7"/>
    <w:rsid w:val="36296D8F"/>
    <w:rsid w:val="36541A28"/>
    <w:rsid w:val="36B349A1"/>
    <w:rsid w:val="3701395E"/>
    <w:rsid w:val="37531C62"/>
    <w:rsid w:val="375907F6"/>
    <w:rsid w:val="37B24C58"/>
    <w:rsid w:val="37B409D1"/>
    <w:rsid w:val="37E02AB9"/>
    <w:rsid w:val="38172D0E"/>
    <w:rsid w:val="3837515E"/>
    <w:rsid w:val="389D1465"/>
    <w:rsid w:val="3905525C"/>
    <w:rsid w:val="3950297B"/>
    <w:rsid w:val="3ADF7F71"/>
    <w:rsid w:val="3B135A0E"/>
    <w:rsid w:val="3B343BD6"/>
    <w:rsid w:val="3BB84807"/>
    <w:rsid w:val="3BB93335"/>
    <w:rsid w:val="3C5F2ED5"/>
    <w:rsid w:val="3C666028"/>
    <w:rsid w:val="3D8C1AA8"/>
    <w:rsid w:val="3DD71DD9"/>
    <w:rsid w:val="3E153786"/>
    <w:rsid w:val="3E1675C3"/>
    <w:rsid w:val="3E8B6203"/>
    <w:rsid w:val="3E90381A"/>
    <w:rsid w:val="3EF63A13"/>
    <w:rsid w:val="400C6935"/>
    <w:rsid w:val="40534544"/>
    <w:rsid w:val="4065648B"/>
    <w:rsid w:val="40721429"/>
    <w:rsid w:val="409F7D44"/>
    <w:rsid w:val="40C81049"/>
    <w:rsid w:val="415D5C35"/>
    <w:rsid w:val="41AC096A"/>
    <w:rsid w:val="41B33AA7"/>
    <w:rsid w:val="41CC4B69"/>
    <w:rsid w:val="421A1D78"/>
    <w:rsid w:val="42470693"/>
    <w:rsid w:val="42A866F4"/>
    <w:rsid w:val="42AB29D0"/>
    <w:rsid w:val="42F75C15"/>
    <w:rsid w:val="434F15AD"/>
    <w:rsid w:val="43503578"/>
    <w:rsid w:val="43C15097"/>
    <w:rsid w:val="440A3726"/>
    <w:rsid w:val="44BA514C"/>
    <w:rsid w:val="45505AB1"/>
    <w:rsid w:val="45521829"/>
    <w:rsid w:val="45611A6C"/>
    <w:rsid w:val="46683FFC"/>
    <w:rsid w:val="46A75BA4"/>
    <w:rsid w:val="4703102D"/>
    <w:rsid w:val="47E32C0C"/>
    <w:rsid w:val="481E3C44"/>
    <w:rsid w:val="48205C0E"/>
    <w:rsid w:val="48693111"/>
    <w:rsid w:val="49374FBE"/>
    <w:rsid w:val="4ADA6548"/>
    <w:rsid w:val="4B0215FB"/>
    <w:rsid w:val="4BDA4326"/>
    <w:rsid w:val="4BF4363A"/>
    <w:rsid w:val="4C0A4C0B"/>
    <w:rsid w:val="4C5E4F57"/>
    <w:rsid w:val="4D4E0B28"/>
    <w:rsid w:val="4D812CAB"/>
    <w:rsid w:val="4D9A4713"/>
    <w:rsid w:val="4E791333"/>
    <w:rsid w:val="4EA03605"/>
    <w:rsid w:val="4EAF55F6"/>
    <w:rsid w:val="4EC45545"/>
    <w:rsid w:val="4F400944"/>
    <w:rsid w:val="4F4A3571"/>
    <w:rsid w:val="4F6603AB"/>
    <w:rsid w:val="4FDE2637"/>
    <w:rsid w:val="5006393C"/>
    <w:rsid w:val="50616DC4"/>
    <w:rsid w:val="50A218B6"/>
    <w:rsid w:val="50DB26D2"/>
    <w:rsid w:val="50F639B0"/>
    <w:rsid w:val="516C62F5"/>
    <w:rsid w:val="517F39A6"/>
    <w:rsid w:val="521A36CE"/>
    <w:rsid w:val="5238328E"/>
    <w:rsid w:val="52462715"/>
    <w:rsid w:val="52833E41"/>
    <w:rsid w:val="528C45CC"/>
    <w:rsid w:val="52B0523E"/>
    <w:rsid w:val="52BE04FE"/>
    <w:rsid w:val="53053951"/>
    <w:rsid w:val="5402441A"/>
    <w:rsid w:val="5452714F"/>
    <w:rsid w:val="5472193F"/>
    <w:rsid w:val="54C3004D"/>
    <w:rsid w:val="551F7B97"/>
    <w:rsid w:val="55F0357F"/>
    <w:rsid w:val="560C332E"/>
    <w:rsid w:val="56220DA3"/>
    <w:rsid w:val="563D5BDD"/>
    <w:rsid w:val="56A143BE"/>
    <w:rsid w:val="57346FE0"/>
    <w:rsid w:val="58951D01"/>
    <w:rsid w:val="58E93DFA"/>
    <w:rsid w:val="5903310E"/>
    <w:rsid w:val="5915074C"/>
    <w:rsid w:val="595B71BC"/>
    <w:rsid w:val="5980475F"/>
    <w:rsid w:val="5A2E41BB"/>
    <w:rsid w:val="5A364E1D"/>
    <w:rsid w:val="5AA601F5"/>
    <w:rsid w:val="5B70610D"/>
    <w:rsid w:val="5B8A3673"/>
    <w:rsid w:val="5BA65FD3"/>
    <w:rsid w:val="5BA83AF9"/>
    <w:rsid w:val="5C3E620B"/>
    <w:rsid w:val="5C4001D5"/>
    <w:rsid w:val="5C8134B0"/>
    <w:rsid w:val="5CAC5345"/>
    <w:rsid w:val="5CCC39C4"/>
    <w:rsid w:val="5D5641BE"/>
    <w:rsid w:val="5DB20C5F"/>
    <w:rsid w:val="5E014DC5"/>
    <w:rsid w:val="5E3B3694"/>
    <w:rsid w:val="5F577D10"/>
    <w:rsid w:val="5F7E529D"/>
    <w:rsid w:val="5F9F7DEC"/>
    <w:rsid w:val="5FB16998"/>
    <w:rsid w:val="60A96349"/>
    <w:rsid w:val="60E5134B"/>
    <w:rsid w:val="621F2A50"/>
    <w:rsid w:val="62797F9D"/>
    <w:rsid w:val="63051831"/>
    <w:rsid w:val="634B7B8C"/>
    <w:rsid w:val="64373C6C"/>
    <w:rsid w:val="64591E34"/>
    <w:rsid w:val="6470717E"/>
    <w:rsid w:val="65F362B8"/>
    <w:rsid w:val="66187ACD"/>
    <w:rsid w:val="662B15AE"/>
    <w:rsid w:val="67C12948"/>
    <w:rsid w:val="68CA1553"/>
    <w:rsid w:val="69074555"/>
    <w:rsid w:val="690A5BF1"/>
    <w:rsid w:val="6931013E"/>
    <w:rsid w:val="69B80757"/>
    <w:rsid w:val="6AEB755E"/>
    <w:rsid w:val="6B570EC0"/>
    <w:rsid w:val="6B67752D"/>
    <w:rsid w:val="6BA53BB1"/>
    <w:rsid w:val="6BE318F9"/>
    <w:rsid w:val="6C975BF0"/>
    <w:rsid w:val="6CA95923"/>
    <w:rsid w:val="6CBC5656"/>
    <w:rsid w:val="6CE36746"/>
    <w:rsid w:val="6D1234C8"/>
    <w:rsid w:val="6D3C6797"/>
    <w:rsid w:val="6D57537F"/>
    <w:rsid w:val="6E2C22B2"/>
    <w:rsid w:val="6E4831CC"/>
    <w:rsid w:val="6E533D98"/>
    <w:rsid w:val="6E7A7577"/>
    <w:rsid w:val="6E873A42"/>
    <w:rsid w:val="6E891568"/>
    <w:rsid w:val="6EF14DD7"/>
    <w:rsid w:val="6F47611A"/>
    <w:rsid w:val="6F5F0599"/>
    <w:rsid w:val="6FA348AB"/>
    <w:rsid w:val="6FA74F6D"/>
    <w:rsid w:val="6FDB2297"/>
    <w:rsid w:val="705067E1"/>
    <w:rsid w:val="7080699B"/>
    <w:rsid w:val="709541F4"/>
    <w:rsid w:val="70E92792"/>
    <w:rsid w:val="711E068D"/>
    <w:rsid w:val="720A0C12"/>
    <w:rsid w:val="731C6E4F"/>
    <w:rsid w:val="758D5DE2"/>
    <w:rsid w:val="760079B4"/>
    <w:rsid w:val="7614205F"/>
    <w:rsid w:val="769D02A6"/>
    <w:rsid w:val="76A17F8D"/>
    <w:rsid w:val="76E77774"/>
    <w:rsid w:val="76EE465E"/>
    <w:rsid w:val="77381D7D"/>
    <w:rsid w:val="77470212"/>
    <w:rsid w:val="77A80CB1"/>
    <w:rsid w:val="7831514A"/>
    <w:rsid w:val="78727511"/>
    <w:rsid w:val="7879089F"/>
    <w:rsid w:val="790747E8"/>
    <w:rsid w:val="79200D1B"/>
    <w:rsid w:val="7961380D"/>
    <w:rsid w:val="79D31B8D"/>
    <w:rsid w:val="7A236D15"/>
    <w:rsid w:val="7B7D2454"/>
    <w:rsid w:val="7BB57E40"/>
    <w:rsid w:val="7C6C0DBE"/>
    <w:rsid w:val="7C9B7036"/>
    <w:rsid w:val="7CFD384D"/>
    <w:rsid w:val="7D0E5A5A"/>
    <w:rsid w:val="7D605B8A"/>
    <w:rsid w:val="7DD87E16"/>
    <w:rsid w:val="7E301A00"/>
    <w:rsid w:val="7E3037AE"/>
    <w:rsid w:val="7EF7251E"/>
    <w:rsid w:val="7F7A7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A"/>
    <w:basedOn w:val="1"/>
    <w:qFormat/>
    <w:uiPriority w:val="0"/>
    <w:rPr>
      <w:rFonts w:eastAsia="Arial Unicode MS" w:cs="Arial Unicode MS"/>
      <w:color w:val="00000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3624</Words>
  <Characters>4188</Characters>
  <Lines>0</Lines>
  <Paragraphs>0</Paragraphs>
  <TotalTime>1</TotalTime>
  <ScaleCrop>false</ScaleCrop>
  <LinksUpToDate>false</LinksUpToDate>
  <CharactersWithSpaces>4259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Xiu.Ran</dc:creator>
  <cp:lastModifiedBy>黄小马</cp:lastModifiedBy>
  <cp:lastPrinted>2021-12-01T07:12:00Z</cp:lastPrinted>
  <dcterms:modified xsi:type="dcterms:W3CDTF">2022-11-01T06:32:33Z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0863A70BBF4E4DB286CAC7D2A94B13D0</vt:lpwstr>
  </property>
</Properties>
</file>