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2023年阳极炭块计划采购量</w:t>
      </w:r>
    </w:p>
    <w:p>
      <w:pPr>
        <w:spacing w:line="360" w:lineRule="auto"/>
        <w:rPr>
          <w:rFonts w:hint="eastAsia" w:ascii="微软雅黑" w:hAnsi="微软雅黑" w:eastAsia="微软雅黑" w:cs="微软雅黑"/>
          <w:szCs w:val="21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各铝业公司月度计划采购量明细如下：</w:t>
      </w:r>
    </w:p>
    <w:tbl>
      <w:tblPr>
        <w:tblStyle w:val="4"/>
        <w:tblW w:w="5091" w:type="pct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787"/>
        <w:gridCol w:w="1787"/>
        <w:gridCol w:w="1788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阳极炭块采购量明细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广西百矿铝业有限公司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广西德保百矿铝业有限公司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广西田林百矿铝业有限公司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广西隆林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百矿铝业有限公司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17.8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19.2 </w:t>
            </w:r>
          </w:p>
        </w:tc>
        <w:tc>
          <w:tcPr>
            <w:tcW w:w="10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注：广西百矿铝业有限公司2022年12月需求量1万吨，单位为万吨。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TlmMTJhYmI2Mjk1OTQwMDczZTE2ZDcyZDdkNGYifQ=="/>
  </w:docVars>
  <w:rsids>
    <w:rsidRoot w:val="490C5168"/>
    <w:rsid w:val="01A279B6"/>
    <w:rsid w:val="057748EB"/>
    <w:rsid w:val="1B5A2C4E"/>
    <w:rsid w:val="1E647087"/>
    <w:rsid w:val="23840B15"/>
    <w:rsid w:val="2E741271"/>
    <w:rsid w:val="31975767"/>
    <w:rsid w:val="35045F40"/>
    <w:rsid w:val="3B975FF9"/>
    <w:rsid w:val="3D761E32"/>
    <w:rsid w:val="3E047481"/>
    <w:rsid w:val="5BF6037A"/>
    <w:rsid w:val="67D808D6"/>
    <w:rsid w:val="715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366</Characters>
  <Lines>0</Lines>
  <Paragraphs>0</Paragraphs>
  <TotalTime>0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2020-11-24T16:04:00Z</dcterms:created>
  <dc:creator>旅行吧～</dc:creator>
  <cp:lastModifiedBy>黄小马</cp:lastModifiedBy>
  <dcterms:modified xsi:type="dcterms:W3CDTF">2022-11-01T06:46:47Z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5D1C0DC5F4D340C0B368FAEC00C4896E</vt:lpwstr>
  </property>
</Properties>
</file>