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6"/>
          <w:szCs w:val="44"/>
          <w:lang w:val="en-US" w:eastAsia="zh-CN"/>
        </w:rPr>
      </w:pPr>
      <w:r>
        <w:rPr>
          <w:rFonts w:hint="eastAsia"/>
          <w:b/>
          <w:bCs/>
          <w:sz w:val="36"/>
          <w:szCs w:val="44"/>
          <w:lang w:val="en-US" w:eastAsia="zh-CN"/>
        </w:rPr>
        <w:t>附件：</w:t>
      </w:r>
    </w:p>
    <w:p>
      <w:pPr>
        <w:spacing w:line="720" w:lineRule="auto"/>
        <w:ind w:firstLine="402" w:firstLineChars="100"/>
        <w:rPr>
          <w:rFonts w:hint="eastAsia" w:ascii="方正小标宋_GBK" w:hAnsi="方正小标宋_GBK" w:eastAsia="方正小标宋_GBK" w:cs="方正小标宋_GBK"/>
          <w:b/>
          <w:bCs/>
          <w:sz w:val="40"/>
          <w:szCs w:val="48"/>
          <w:lang w:val="en-US" w:eastAsia="zh-CN"/>
        </w:rPr>
      </w:pPr>
      <w:r>
        <w:rPr>
          <w:rFonts w:hint="eastAsia" w:ascii="方正小标宋_GBK" w:hAnsi="方正小标宋_GBK" w:eastAsia="方正小标宋_GBK" w:cs="方正小标宋_GBK"/>
          <w:b/>
          <w:bCs/>
          <w:sz w:val="40"/>
          <w:szCs w:val="48"/>
          <w:lang w:val="en-US" w:eastAsia="zh-CN"/>
        </w:rPr>
        <w:t>田林百矿田田碳素有限公司</w:t>
      </w:r>
      <w:r>
        <w:rPr>
          <w:rFonts w:hint="eastAsia" w:ascii="方正小标宋_GBK" w:hAnsi="方正小标宋_GBK" w:eastAsia="方正小标宋_GBK" w:cs="方正小标宋_GBK"/>
          <w:sz w:val="32"/>
          <w:szCs w:val="32"/>
        </w:rPr>
        <w:t xml:space="preserve"> </w:t>
      </w:r>
      <w:r>
        <w:rPr>
          <w:rFonts w:hint="eastAsia" w:ascii="方正小标宋_GBK" w:hAnsi="方正小标宋_GBK" w:eastAsia="方正小标宋_GBK" w:cs="方正小标宋_GBK"/>
          <w:b/>
          <w:bCs/>
          <w:sz w:val="40"/>
          <w:szCs w:val="48"/>
          <w:lang w:val="en-US" w:eastAsia="zh-CN"/>
        </w:rPr>
        <w:t>400kt/a 预焙</w:t>
      </w:r>
    </w:p>
    <w:p>
      <w:pPr>
        <w:spacing w:line="720" w:lineRule="auto"/>
        <w:ind w:firstLine="402" w:firstLineChars="100"/>
        <w:rPr>
          <w:rFonts w:hint="eastAsia" w:ascii="方正小标宋_GBK" w:hAnsi="方正小标宋_GBK" w:eastAsia="方正小标宋_GBK" w:cs="方正小标宋_GBK"/>
          <w:b/>
          <w:bCs/>
          <w:sz w:val="40"/>
          <w:szCs w:val="48"/>
          <w:lang w:val="en-US" w:eastAsia="zh-CN"/>
        </w:rPr>
      </w:pPr>
      <w:r>
        <w:rPr>
          <w:rFonts w:hint="eastAsia" w:ascii="方正小标宋_GBK" w:hAnsi="方正小标宋_GBK" w:eastAsia="方正小标宋_GBK" w:cs="方正小标宋_GBK"/>
          <w:b/>
          <w:bCs/>
          <w:sz w:val="40"/>
          <w:szCs w:val="48"/>
          <w:lang w:val="en-US" w:eastAsia="zh-CN"/>
        </w:rPr>
        <w:t>阳极碳素项目突发环境事故应急预案编制</w:t>
      </w:r>
    </w:p>
    <w:p>
      <w:pPr>
        <w:spacing w:line="720" w:lineRule="auto"/>
        <w:rPr>
          <w:rFonts w:hint="eastAsia"/>
          <w:b/>
          <w:bCs/>
          <w:sz w:val="44"/>
          <w:szCs w:val="52"/>
          <w:lang w:val="en-US" w:eastAsia="zh-CN"/>
        </w:rPr>
      </w:pPr>
    </w:p>
    <w:p>
      <w:pPr>
        <w:rPr>
          <w:rFonts w:hint="eastAsia"/>
          <w:b/>
          <w:bCs/>
          <w:sz w:val="44"/>
          <w:szCs w:val="52"/>
          <w:lang w:val="en-US" w:eastAsia="zh-CN"/>
        </w:rPr>
      </w:pPr>
    </w:p>
    <w:p>
      <w:pPr>
        <w:rPr>
          <w:rFonts w:hint="eastAsia"/>
          <w:b/>
          <w:bCs/>
          <w:sz w:val="44"/>
          <w:szCs w:val="52"/>
          <w:lang w:val="en-US" w:eastAsia="zh-CN"/>
        </w:rPr>
      </w:pPr>
    </w:p>
    <w:p>
      <w:pPr>
        <w:ind w:firstLine="1928" w:firstLineChars="200"/>
        <w:rPr>
          <w:rFonts w:hint="eastAsia"/>
          <w:b/>
          <w:bCs/>
          <w:sz w:val="96"/>
          <w:szCs w:val="160"/>
          <w:lang w:val="en-US" w:eastAsia="zh-CN"/>
        </w:rPr>
      </w:pPr>
      <w:r>
        <w:rPr>
          <w:rFonts w:hint="eastAsia"/>
          <w:b/>
          <w:bCs/>
          <w:sz w:val="96"/>
          <w:szCs w:val="160"/>
          <w:lang w:val="en-US" w:eastAsia="zh-CN"/>
        </w:rPr>
        <w:t>技术任务书</w:t>
      </w:r>
    </w:p>
    <w:p>
      <w:pPr>
        <w:ind w:firstLine="2811" w:firstLineChars="500"/>
        <w:rPr>
          <w:rFonts w:hint="eastAsia"/>
          <w:b/>
          <w:bCs/>
          <w:sz w:val="56"/>
          <w:szCs w:val="96"/>
          <w:lang w:val="en-US" w:eastAsia="zh-CN"/>
        </w:rPr>
      </w:pPr>
    </w:p>
    <w:p>
      <w:pPr>
        <w:ind w:firstLine="2811" w:firstLineChars="500"/>
        <w:rPr>
          <w:rFonts w:hint="eastAsia"/>
          <w:b/>
          <w:bCs/>
          <w:sz w:val="56"/>
          <w:szCs w:val="96"/>
          <w:lang w:val="en-US" w:eastAsia="zh-CN"/>
        </w:rPr>
      </w:pPr>
    </w:p>
    <w:p>
      <w:pPr>
        <w:pStyle w:val="9"/>
        <w:rPr>
          <w:rFonts w:hint="eastAsia"/>
          <w:lang w:val="en-US" w:eastAsia="zh-CN"/>
        </w:rPr>
      </w:pPr>
    </w:p>
    <w:p>
      <w:pPr>
        <w:pStyle w:val="9"/>
        <w:keepNext w:val="0"/>
        <w:keepLines w:val="0"/>
        <w:pageBreakBefore w:val="0"/>
        <w:kinsoku/>
        <w:wordWrap/>
        <w:overflowPunct/>
        <w:topLinePunct w:val="0"/>
        <w:bidi w:val="0"/>
        <w:spacing w:line="360" w:lineRule="auto"/>
        <w:ind w:firstLine="1928" w:firstLineChars="600"/>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编    制：</w:t>
      </w:r>
      <w:r>
        <w:rPr>
          <w:rFonts w:hint="eastAsia" w:ascii="宋体" w:hAnsi="宋体" w:eastAsia="宋体" w:cs="宋体"/>
          <w:b/>
          <w:bCs/>
          <w:sz w:val="32"/>
          <w:szCs w:val="32"/>
          <w:u w:val="single"/>
          <w:lang w:val="en-US" w:eastAsia="zh-CN"/>
        </w:rPr>
        <w:t xml:space="preserve">                    </w:t>
      </w:r>
    </w:p>
    <w:p>
      <w:pPr>
        <w:pStyle w:val="9"/>
        <w:keepNext w:val="0"/>
        <w:keepLines w:val="0"/>
        <w:pageBreakBefore w:val="0"/>
        <w:kinsoku/>
        <w:wordWrap/>
        <w:overflowPunct/>
        <w:topLinePunct w:val="0"/>
        <w:bidi w:val="0"/>
        <w:spacing w:line="360" w:lineRule="auto"/>
        <w:ind w:firstLine="1928" w:firstLineChars="6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val="en-US" w:eastAsia="zh-CN"/>
        </w:rPr>
        <w:t>审    核：</w:t>
      </w:r>
      <w:r>
        <w:rPr>
          <w:rFonts w:hint="eastAsia" w:ascii="宋体" w:hAnsi="宋体" w:eastAsia="宋体" w:cs="宋体"/>
          <w:b/>
          <w:bCs/>
          <w:sz w:val="32"/>
          <w:szCs w:val="32"/>
          <w:u w:val="single"/>
          <w:lang w:val="en-US" w:eastAsia="zh-CN"/>
        </w:rPr>
        <w:t xml:space="preserve">                    </w:t>
      </w:r>
    </w:p>
    <w:p>
      <w:pPr>
        <w:pStyle w:val="9"/>
        <w:keepNext w:val="0"/>
        <w:keepLines w:val="0"/>
        <w:pageBreakBefore w:val="0"/>
        <w:kinsoku/>
        <w:wordWrap/>
        <w:overflowPunct/>
        <w:topLinePunct w:val="0"/>
        <w:bidi w:val="0"/>
        <w:spacing w:line="360" w:lineRule="auto"/>
        <w:ind w:firstLine="1928" w:firstLineChars="6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val="en-US" w:eastAsia="zh-CN"/>
        </w:rPr>
        <w:t>批    准：</w:t>
      </w:r>
      <w:r>
        <w:rPr>
          <w:rFonts w:hint="eastAsia" w:ascii="宋体" w:hAnsi="宋体" w:eastAsia="宋体" w:cs="宋体"/>
          <w:b/>
          <w:bCs/>
          <w:sz w:val="32"/>
          <w:szCs w:val="32"/>
          <w:u w:val="single"/>
          <w:lang w:val="en-US" w:eastAsia="zh-CN"/>
        </w:rPr>
        <w:t xml:space="preserve">                    </w:t>
      </w:r>
    </w:p>
    <w:p>
      <w:pPr>
        <w:rPr>
          <w:rFonts w:hint="eastAsia" w:ascii="宋体" w:hAnsi="宋体" w:eastAsia="宋体" w:cs="宋体"/>
          <w:b/>
          <w:bCs/>
          <w:sz w:val="32"/>
          <w:szCs w:val="32"/>
          <w:u w:val="single"/>
          <w:lang w:val="en-US" w:eastAsia="zh-CN"/>
        </w:rPr>
      </w:pPr>
    </w:p>
    <w:p>
      <w:pPr>
        <w:spacing w:line="600" w:lineRule="auto"/>
        <w:jc w:val="cente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single"/>
          <w:lang w:val="en-US" w:eastAsia="zh-CN"/>
        </w:rPr>
        <w:t>田林百矿田田碳素有限公司</w:t>
      </w:r>
    </w:p>
    <w:p>
      <w:pPr>
        <w:pStyle w:val="9"/>
        <w:spacing w:line="600" w:lineRule="auto"/>
        <w:jc w:val="center"/>
        <w:rPr>
          <w:rFonts w:hint="eastAsia" w:ascii="仿宋_GB2312" w:hAnsi="仿宋" w:eastAsia="仿宋_GB2312"/>
          <w:sz w:val="36"/>
          <w:szCs w:val="36"/>
          <w:lang w:val="en-US" w:eastAsia="zh-CN"/>
        </w:rPr>
      </w:pPr>
      <w:r>
        <w:rPr>
          <w:rFonts w:hint="eastAsia" w:ascii="宋体" w:hAnsi="宋体" w:eastAsia="宋体" w:cs="宋体"/>
          <w:b/>
          <w:bCs/>
          <w:sz w:val="36"/>
          <w:szCs w:val="36"/>
          <w:u w:val="single"/>
          <w:lang w:val="en-US" w:eastAsia="zh-CN"/>
        </w:rPr>
        <w:t>2022年10月</w:t>
      </w:r>
    </w:p>
    <w:p>
      <w:pPr>
        <w:spacing w:before="0" w:beforeLines="0" w:after="0" w:afterLines="0" w:line="240" w:lineRule="auto"/>
        <w:ind w:left="0" w:leftChars="0" w:right="0" w:rightChars="0" w:firstLine="0" w:firstLineChars="0"/>
        <w:jc w:val="center"/>
        <w:rPr>
          <w:rFonts w:ascii="宋体" w:hAnsi="宋体" w:eastAsia="宋体"/>
          <w:sz w:val="28"/>
          <w:szCs w:val="28"/>
        </w:rPr>
      </w:pPr>
    </w:p>
    <w:p>
      <w:pPr>
        <w:spacing w:before="0" w:beforeLines="0" w:after="0" w:afterLines="0" w:line="240" w:lineRule="auto"/>
        <w:ind w:left="0" w:leftChars="0" w:right="0" w:rightChars="0" w:firstLine="0" w:firstLineChars="0"/>
        <w:jc w:val="center"/>
        <w:rPr>
          <w:rFonts w:ascii="宋体" w:hAnsi="宋体" w:eastAsia="宋体"/>
          <w:sz w:val="28"/>
          <w:szCs w:val="28"/>
        </w:rPr>
      </w:pPr>
    </w:p>
    <w:p>
      <w:pPr>
        <w:spacing w:before="0" w:beforeLines="0" w:after="0" w:afterLines="0" w:line="240" w:lineRule="auto"/>
        <w:ind w:left="0" w:leftChars="0" w:right="0" w:rightChars="0" w:firstLine="0" w:firstLineChars="0"/>
        <w:jc w:val="center"/>
        <w:rPr>
          <w:rFonts w:ascii="宋体" w:hAnsi="宋体" w:eastAsia="宋体"/>
          <w:b/>
          <w:bCs/>
          <w:sz w:val="28"/>
          <w:szCs w:val="28"/>
        </w:rPr>
      </w:pPr>
    </w:p>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5"/>
        <w:tabs>
          <w:tab w:val="right" w:leader="dot" w:pos="9746"/>
        </w:tabs>
        <w:spacing w:line="480" w:lineRule="auto"/>
        <w:rPr>
          <w:highlight w:val="none"/>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rPr>
          <w:rFonts w:hint="eastAsia"/>
          <w:szCs w:val="28"/>
          <w:highlight w:val="none"/>
        </w:rPr>
        <w:fldChar w:fldCharType="begin"/>
      </w:r>
      <w:r>
        <w:rPr>
          <w:rFonts w:hint="eastAsia"/>
          <w:szCs w:val="28"/>
          <w:highlight w:val="none"/>
        </w:rPr>
        <w:instrText xml:space="preserve"> HYPERLINK \l _Toc22103 </w:instrText>
      </w:r>
      <w:r>
        <w:rPr>
          <w:rFonts w:hint="eastAsia"/>
          <w:szCs w:val="28"/>
          <w:highlight w:val="none"/>
        </w:rPr>
        <w:fldChar w:fldCharType="separate"/>
      </w:r>
      <w:r>
        <w:rPr>
          <w:rFonts w:hint="eastAsia" w:ascii="宋体" w:hAnsi="宋体" w:eastAsia="宋体" w:cs="宋体"/>
          <w:szCs w:val="24"/>
          <w:highlight w:val="none"/>
        </w:rPr>
        <w:t>一、总</w:t>
      </w:r>
      <w:r>
        <w:rPr>
          <w:rFonts w:hint="eastAsia" w:ascii="宋体" w:hAnsi="宋体" w:cs="宋体"/>
          <w:szCs w:val="24"/>
          <w:highlight w:val="none"/>
          <w:lang w:val="en-US" w:eastAsia="zh-CN"/>
        </w:rPr>
        <w:t>述</w:t>
      </w:r>
      <w:r>
        <w:rPr>
          <w:highlight w:val="none"/>
        </w:rPr>
        <w:tab/>
      </w:r>
      <w:r>
        <w:rPr>
          <w:highlight w:val="none"/>
        </w:rPr>
        <w:fldChar w:fldCharType="begin"/>
      </w:r>
      <w:r>
        <w:rPr>
          <w:highlight w:val="none"/>
        </w:rPr>
        <w:instrText xml:space="preserve"> PAGEREF _Toc22103 </w:instrText>
      </w:r>
      <w:r>
        <w:rPr>
          <w:highlight w:val="none"/>
        </w:rPr>
        <w:fldChar w:fldCharType="separate"/>
      </w:r>
      <w:r>
        <w:rPr>
          <w:highlight w:val="none"/>
        </w:rPr>
        <w:t>1</w:t>
      </w:r>
      <w:r>
        <w:rPr>
          <w:highlight w:val="none"/>
        </w:rPr>
        <w:fldChar w:fldCharType="end"/>
      </w:r>
      <w:r>
        <w:rPr>
          <w:rFonts w:hint="eastAsia"/>
          <w:szCs w:val="28"/>
          <w:highlight w:val="none"/>
        </w:rPr>
        <w:fldChar w:fldCharType="end"/>
      </w:r>
    </w:p>
    <w:p>
      <w:pPr>
        <w:pStyle w:val="5"/>
        <w:tabs>
          <w:tab w:val="right" w:leader="dot" w:pos="9746"/>
        </w:tabs>
        <w:spacing w:line="480" w:lineRule="auto"/>
        <w:rPr>
          <w:highlight w:val="none"/>
        </w:rPr>
      </w:pPr>
      <w:r>
        <w:rPr>
          <w:rFonts w:hint="eastAsia"/>
          <w:szCs w:val="28"/>
          <w:highlight w:val="none"/>
        </w:rPr>
        <w:fldChar w:fldCharType="begin"/>
      </w:r>
      <w:r>
        <w:rPr>
          <w:rFonts w:hint="eastAsia"/>
          <w:szCs w:val="28"/>
          <w:highlight w:val="none"/>
        </w:rPr>
        <w:instrText xml:space="preserve"> HYPERLINK \l _Toc17858 </w:instrText>
      </w:r>
      <w:r>
        <w:rPr>
          <w:rFonts w:hint="eastAsia"/>
          <w:szCs w:val="28"/>
          <w:highlight w:val="none"/>
        </w:rPr>
        <w:fldChar w:fldCharType="separate"/>
      </w:r>
      <w:r>
        <w:rPr>
          <w:rFonts w:hint="eastAsia" w:ascii="宋体" w:hAnsi="宋体" w:eastAsia="宋体" w:cs="宋体"/>
          <w:szCs w:val="24"/>
          <w:highlight w:val="none"/>
          <w:lang w:val="en-US" w:eastAsia="zh-CN"/>
        </w:rPr>
        <w:t>二</w:t>
      </w:r>
      <w:r>
        <w:rPr>
          <w:rFonts w:hint="eastAsia" w:ascii="宋体" w:hAnsi="宋体" w:eastAsia="宋体" w:cs="宋体"/>
          <w:szCs w:val="24"/>
          <w:highlight w:val="none"/>
        </w:rPr>
        <w:t>、</w:t>
      </w:r>
      <w:r>
        <w:rPr>
          <w:rFonts w:hint="eastAsia" w:ascii="宋体" w:hAnsi="宋体" w:cs="宋体"/>
          <w:szCs w:val="24"/>
          <w:highlight w:val="none"/>
          <w:lang w:val="en-US" w:eastAsia="zh-CN"/>
        </w:rPr>
        <w:t>范围</w:t>
      </w:r>
      <w:r>
        <w:rPr>
          <w:highlight w:val="none"/>
        </w:rPr>
        <w:tab/>
      </w:r>
      <w:r>
        <w:rPr>
          <w:rFonts w:hint="eastAsia"/>
          <w:highlight w:val="none"/>
          <w:lang w:val="en-US" w:eastAsia="zh-CN"/>
        </w:rPr>
        <w:t>1</w:t>
      </w:r>
      <w:r>
        <w:rPr>
          <w:rFonts w:hint="eastAsia"/>
          <w:szCs w:val="28"/>
          <w:highlight w:val="none"/>
        </w:rPr>
        <w:fldChar w:fldCharType="end"/>
      </w:r>
    </w:p>
    <w:p>
      <w:pPr>
        <w:pStyle w:val="5"/>
        <w:tabs>
          <w:tab w:val="right" w:leader="dot" w:pos="9746"/>
        </w:tabs>
        <w:spacing w:line="480" w:lineRule="auto"/>
        <w:rPr>
          <w:highlight w:val="none"/>
        </w:rPr>
      </w:pPr>
      <w:r>
        <w:rPr>
          <w:rFonts w:hint="eastAsia"/>
          <w:szCs w:val="28"/>
          <w:highlight w:val="none"/>
        </w:rPr>
        <w:fldChar w:fldCharType="begin"/>
      </w:r>
      <w:r>
        <w:rPr>
          <w:rFonts w:hint="eastAsia"/>
          <w:szCs w:val="28"/>
          <w:highlight w:val="none"/>
        </w:rPr>
        <w:instrText xml:space="preserve"> HYPERLINK \l _Toc8875 </w:instrText>
      </w:r>
      <w:r>
        <w:rPr>
          <w:rFonts w:hint="eastAsia"/>
          <w:szCs w:val="28"/>
          <w:highlight w:val="none"/>
        </w:rPr>
        <w:fldChar w:fldCharType="separate"/>
      </w:r>
      <w:r>
        <w:rPr>
          <w:rFonts w:hint="eastAsia" w:ascii="宋体" w:hAnsi="宋体" w:eastAsia="宋体" w:cs="宋体"/>
          <w:szCs w:val="24"/>
          <w:highlight w:val="none"/>
        </w:rPr>
        <w:t>三、</w:t>
      </w:r>
      <w:r>
        <w:rPr>
          <w:rFonts w:hint="eastAsia" w:ascii="宋体" w:hAnsi="宋体" w:cs="宋体"/>
          <w:szCs w:val="24"/>
          <w:highlight w:val="none"/>
          <w:lang w:val="en-US" w:eastAsia="zh-CN"/>
        </w:rPr>
        <w:t>要求</w:t>
      </w:r>
      <w:r>
        <w:rPr>
          <w:highlight w:val="none"/>
        </w:rPr>
        <w:tab/>
      </w:r>
      <w:r>
        <w:rPr>
          <w:rFonts w:hint="eastAsia"/>
          <w:highlight w:val="none"/>
          <w:lang w:val="en-US" w:eastAsia="zh-CN"/>
        </w:rPr>
        <w:t>1</w:t>
      </w:r>
      <w:r>
        <w:rPr>
          <w:rFonts w:hint="eastAsia"/>
          <w:szCs w:val="28"/>
          <w:highlight w:val="none"/>
        </w:rPr>
        <w:fldChar w:fldCharType="end"/>
      </w:r>
    </w:p>
    <w:p>
      <w:pPr>
        <w:pStyle w:val="5"/>
        <w:tabs>
          <w:tab w:val="right" w:leader="dot" w:pos="9746"/>
        </w:tabs>
        <w:spacing w:line="480" w:lineRule="auto"/>
        <w:rPr>
          <w:highlight w:val="none"/>
        </w:rPr>
      </w:pPr>
      <w:r>
        <w:rPr>
          <w:rFonts w:hint="eastAsia"/>
          <w:szCs w:val="28"/>
          <w:highlight w:val="none"/>
        </w:rPr>
        <w:fldChar w:fldCharType="begin"/>
      </w:r>
      <w:r>
        <w:rPr>
          <w:rFonts w:hint="eastAsia"/>
          <w:szCs w:val="28"/>
          <w:highlight w:val="none"/>
        </w:rPr>
        <w:instrText xml:space="preserve"> HYPERLINK \l _Toc14243 </w:instrText>
      </w:r>
      <w:r>
        <w:rPr>
          <w:rFonts w:hint="eastAsia"/>
          <w:szCs w:val="28"/>
          <w:highlight w:val="none"/>
        </w:rPr>
        <w:fldChar w:fldCharType="separate"/>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w:t>
      </w:r>
      <w:r>
        <w:rPr>
          <w:rFonts w:hint="eastAsia" w:ascii="宋体" w:hAnsi="宋体" w:cs="宋体"/>
          <w:szCs w:val="24"/>
          <w:highlight w:val="none"/>
          <w:lang w:val="en-US" w:eastAsia="zh-CN"/>
        </w:rPr>
        <w:t>编制周期及交货地点</w:t>
      </w:r>
      <w:r>
        <w:rPr>
          <w:highlight w:val="none"/>
        </w:rPr>
        <w:tab/>
      </w:r>
      <w:r>
        <w:rPr>
          <w:rFonts w:hint="eastAsia"/>
          <w:highlight w:val="none"/>
          <w:lang w:val="en-US" w:eastAsia="zh-CN"/>
        </w:rPr>
        <w:t>2</w:t>
      </w:r>
      <w:r>
        <w:rPr>
          <w:rFonts w:hint="eastAsia"/>
          <w:szCs w:val="28"/>
          <w:highlight w:val="none"/>
        </w:rPr>
        <w:fldChar w:fldCharType="end"/>
      </w:r>
    </w:p>
    <w:p>
      <w:pPr>
        <w:pStyle w:val="5"/>
        <w:tabs>
          <w:tab w:val="right" w:leader="dot" w:pos="9746"/>
        </w:tabs>
        <w:spacing w:line="480" w:lineRule="auto"/>
        <w:rPr>
          <w:highlight w:val="none"/>
        </w:rPr>
      </w:pPr>
      <w:r>
        <w:rPr>
          <w:rFonts w:hint="eastAsia"/>
          <w:szCs w:val="28"/>
          <w:highlight w:val="none"/>
        </w:rPr>
        <w:fldChar w:fldCharType="begin"/>
      </w:r>
      <w:r>
        <w:rPr>
          <w:rFonts w:hint="eastAsia"/>
          <w:szCs w:val="28"/>
          <w:highlight w:val="none"/>
        </w:rPr>
        <w:instrText xml:space="preserve"> HYPERLINK \l _Toc11794 </w:instrText>
      </w:r>
      <w:r>
        <w:rPr>
          <w:rFonts w:hint="eastAsia"/>
          <w:szCs w:val="28"/>
          <w:highlight w:val="none"/>
        </w:rPr>
        <w:fldChar w:fldCharType="separate"/>
      </w:r>
      <w:r>
        <w:rPr>
          <w:rFonts w:hint="eastAsia" w:ascii="宋体" w:hAnsi="宋体" w:eastAsia="宋体" w:cs="宋体"/>
          <w:bCs/>
          <w:szCs w:val="24"/>
          <w:highlight w:val="none"/>
        </w:rPr>
        <w:t>五、</w:t>
      </w:r>
      <w:r>
        <w:rPr>
          <w:rFonts w:hint="eastAsia" w:ascii="宋体" w:hAnsi="宋体" w:cs="宋体"/>
          <w:bCs/>
          <w:szCs w:val="24"/>
          <w:highlight w:val="none"/>
          <w:lang w:val="en-US" w:eastAsia="zh-CN"/>
        </w:rPr>
        <w:t>安全约定</w:t>
      </w:r>
      <w:r>
        <w:rPr>
          <w:highlight w:val="none"/>
        </w:rPr>
        <w:tab/>
      </w:r>
      <w:r>
        <w:rPr>
          <w:rFonts w:hint="eastAsia"/>
          <w:highlight w:val="none"/>
          <w:lang w:val="en-US" w:eastAsia="zh-CN"/>
        </w:rPr>
        <w:t>2</w:t>
      </w:r>
      <w:r>
        <w:rPr>
          <w:rFonts w:hint="eastAsia"/>
          <w:szCs w:val="28"/>
          <w:highlight w:val="none"/>
        </w:rPr>
        <w:fldChar w:fldCharType="end"/>
      </w:r>
    </w:p>
    <w:p>
      <w:pPr>
        <w:pStyle w:val="5"/>
        <w:tabs>
          <w:tab w:val="right" w:leader="dot" w:pos="9746"/>
        </w:tabs>
        <w:spacing w:line="480" w:lineRule="auto"/>
        <w:rPr>
          <w:highlight w:val="none"/>
        </w:rPr>
      </w:pPr>
      <w:r>
        <w:rPr>
          <w:rFonts w:hint="eastAsia"/>
          <w:szCs w:val="28"/>
          <w:highlight w:val="none"/>
        </w:rPr>
        <w:fldChar w:fldCharType="begin"/>
      </w:r>
      <w:r>
        <w:rPr>
          <w:rFonts w:hint="eastAsia"/>
          <w:szCs w:val="28"/>
          <w:highlight w:val="none"/>
        </w:rPr>
        <w:instrText xml:space="preserve"> HYPERLINK \l _Toc2672 </w:instrText>
      </w:r>
      <w:r>
        <w:rPr>
          <w:rFonts w:hint="eastAsia"/>
          <w:szCs w:val="28"/>
          <w:highlight w:val="none"/>
        </w:rPr>
        <w:fldChar w:fldCharType="separate"/>
      </w:r>
      <w:r>
        <w:rPr>
          <w:rFonts w:hint="eastAsia" w:ascii="宋体" w:hAnsi="宋体" w:cs="宋体"/>
          <w:szCs w:val="24"/>
          <w:highlight w:val="none"/>
          <w:lang w:val="en-US" w:eastAsia="zh-CN"/>
        </w:rPr>
        <w:t>六</w:t>
      </w:r>
      <w:r>
        <w:rPr>
          <w:rFonts w:hint="eastAsia" w:ascii="宋体" w:hAnsi="宋体" w:eastAsia="宋体" w:cs="宋体"/>
          <w:szCs w:val="24"/>
          <w:highlight w:val="none"/>
        </w:rPr>
        <w:t>、</w:t>
      </w:r>
      <w:r>
        <w:rPr>
          <w:rFonts w:hint="eastAsia" w:ascii="宋体" w:hAnsi="宋体" w:cs="宋体"/>
          <w:szCs w:val="24"/>
          <w:highlight w:val="none"/>
          <w:lang w:val="en-US" w:eastAsia="zh-CN"/>
        </w:rPr>
        <w:t>处理信息</w:t>
      </w:r>
      <w:r>
        <w:rPr>
          <w:highlight w:val="none"/>
        </w:rPr>
        <w:tab/>
      </w:r>
      <w:r>
        <w:rPr>
          <w:rFonts w:hint="eastAsia"/>
          <w:highlight w:val="none"/>
          <w:lang w:val="en-US" w:eastAsia="zh-CN"/>
        </w:rPr>
        <w:t>2</w:t>
      </w:r>
      <w:r>
        <w:rPr>
          <w:rFonts w:hint="eastAsia"/>
          <w:szCs w:val="28"/>
          <w:highlight w:val="none"/>
        </w:rPr>
        <w:fldChar w:fldCharType="end"/>
      </w:r>
    </w:p>
    <w:p>
      <w:pPr>
        <w:pStyle w:val="5"/>
        <w:tabs>
          <w:tab w:val="right" w:leader="dot" w:pos="9746"/>
        </w:tabs>
        <w:spacing w:line="480" w:lineRule="auto"/>
      </w:pPr>
      <w:r>
        <w:rPr>
          <w:rFonts w:hint="eastAsia"/>
          <w:szCs w:val="28"/>
          <w:highlight w:val="none"/>
        </w:rPr>
        <w:fldChar w:fldCharType="begin"/>
      </w:r>
      <w:r>
        <w:rPr>
          <w:rFonts w:hint="eastAsia"/>
          <w:szCs w:val="28"/>
          <w:highlight w:val="none"/>
        </w:rPr>
        <w:instrText xml:space="preserve"> HYPERLINK \l _Toc5805 </w:instrText>
      </w:r>
      <w:r>
        <w:rPr>
          <w:rFonts w:hint="eastAsia"/>
          <w:szCs w:val="28"/>
          <w:highlight w:val="none"/>
        </w:rPr>
        <w:fldChar w:fldCharType="separate"/>
      </w:r>
      <w:r>
        <w:rPr>
          <w:rFonts w:hint="eastAsia"/>
          <w:szCs w:val="28"/>
          <w:highlight w:val="none"/>
          <w:lang w:val="en-US" w:eastAsia="zh-CN"/>
        </w:rPr>
        <w:t>七</w:t>
      </w:r>
      <w:r>
        <w:rPr>
          <w:rFonts w:hint="eastAsia" w:ascii="宋体" w:hAnsi="宋体" w:eastAsia="宋体" w:cs="宋体"/>
          <w:szCs w:val="24"/>
          <w:highlight w:val="none"/>
        </w:rPr>
        <w:t>、</w:t>
      </w:r>
      <w:r>
        <w:rPr>
          <w:rFonts w:hint="eastAsia" w:ascii="宋体" w:hAnsi="宋体" w:cs="宋体"/>
          <w:szCs w:val="24"/>
          <w:highlight w:val="none"/>
          <w:lang w:val="en-US" w:eastAsia="zh-CN"/>
        </w:rPr>
        <w:t>其他说明</w:t>
      </w:r>
      <w:r>
        <w:rPr>
          <w:highlight w:val="none"/>
        </w:rPr>
        <w:tab/>
      </w:r>
      <w:r>
        <w:rPr>
          <w:rFonts w:hint="eastAsia"/>
          <w:highlight w:val="none"/>
          <w:lang w:val="en-US" w:eastAsia="zh-CN"/>
        </w:rPr>
        <w:t>2</w:t>
      </w:r>
      <w:r>
        <w:rPr>
          <w:rFonts w:hint="eastAsia"/>
          <w:szCs w:val="28"/>
          <w:highlight w:val="none"/>
        </w:rPr>
        <w:fldChar w:fldCharType="end"/>
      </w:r>
    </w:p>
    <w:p>
      <w:pPr>
        <w:pStyle w:val="5"/>
        <w:tabs>
          <w:tab w:val="right" w:leader="dot" w:pos="9746"/>
        </w:tabs>
      </w:pPr>
    </w:p>
    <w:p>
      <w:pPr>
        <w:numPr>
          <w:ilvl w:val="0"/>
          <w:numId w:val="0"/>
        </w:numPr>
        <w:ind w:right="-733" w:rightChars="-349"/>
        <w:rPr>
          <w:rFonts w:hint="eastAsia" w:ascii="仿宋_GB2312" w:hAnsi="仿宋" w:eastAsia="仿宋_GB2312"/>
          <w:sz w:val="32"/>
          <w:szCs w:val="32"/>
          <w:lang w:val="en-US" w:eastAsia="zh-CN"/>
        </w:rPr>
      </w:pPr>
      <w:r>
        <w:rPr>
          <w:rFonts w:hint="eastAsia"/>
          <w:szCs w:val="28"/>
        </w:rPr>
        <w:fldChar w:fldCharType="end"/>
      </w:r>
    </w:p>
    <w:p>
      <w:pPr>
        <w:numPr>
          <w:ilvl w:val="0"/>
          <w:numId w:val="0"/>
        </w:numPr>
        <w:ind w:right="-733" w:rightChars="-349"/>
        <w:rPr>
          <w:rFonts w:hint="eastAsia" w:ascii="仿宋_GB2312" w:hAnsi="仿宋" w:eastAsia="仿宋_GB2312"/>
          <w:sz w:val="32"/>
          <w:szCs w:val="32"/>
          <w:lang w:val="en-US" w:eastAsia="zh-CN"/>
        </w:rPr>
      </w:pPr>
    </w:p>
    <w:p>
      <w:pPr>
        <w:numPr>
          <w:ilvl w:val="0"/>
          <w:numId w:val="0"/>
        </w:numPr>
        <w:ind w:right="-733" w:rightChars="-349"/>
        <w:rPr>
          <w:rFonts w:hint="eastAsia" w:ascii="仿宋_GB2312" w:hAnsi="仿宋" w:eastAsia="仿宋_GB2312"/>
          <w:sz w:val="32"/>
          <w:szCs w:val="32"/>
          <w:lang w:val="en-US" w:eastAsia="zh-CN"/>
        </w:rPr>
      </w:pPr>
    </w:p>
    <w:p>
      <w:pPr>
        <w:numPr>
          <w:ilvl w:val="0"/>
          <w:numId w:val="0"/>
        </w:numPr>
        <w:ind w:right="-733" w:rightChars="-349"/>
        <w:rPr>
          <w:rFonts w:hint="eastAsia" w:ascii="仿宋_GB2312" w:hAnsi="仿宋" w:eastAsia="仿宋_GB2312"/>
          <w:sz w:val="32"/>
          <w:szCs w:val="32"/>
          <w:lang w:val="en-US" w:eastAsia="zh-CN"/>
        </w:rPr>
      </w:pPr>
    </w:p>
    <w:p>
      <w:pPr>
        <w:numPr>
          <w:ilvl w:val="0"/>
          <w:numId w:val="0"/>
        </w:numPr>
        <w:ind w:right="-733" w:rightChars="-34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pStyle w:val="9"/>
        <w:rPr>
          <w:rFonts w:hint="eastAsia" w:ascii="仿宋_GB2312" w:hAnsi="仿宋" w:eastAsia="仿宋_GB2312"/>
          <w:sz w:val="32"/>
          <w:szCs w:val="32"/>
          <w:lang w:val="en-US" w:eastAsia="zh-CN"/>
        </w:rPr>
      </w:pPr>
    </w:p>
    <w:p>
      <w:pPr>
        <w:numPr>
          <w:ilvl w:val="0"/>
          <w:numId w:val="0"/>
        </w:numPr>
        <w:ind w:right="-733" w:rightChars="-349"/>
        <w:rPr>
          <w:rFonts w:hint="eastAsia" w:ascii="仿宋_GB2312" w:hAnsi="仿宋" w:eastAsia="仿宋_GB2312"/>
          <w:sz w:val="32"/>
          <w:szCs w:val="32"/>
          <w:lang w:val="en-US" w:eastAsia="zh-CN"/>
        </w:rPr>
        <w:sectPr>
          <w:headerReference r:id="rId4" w:type="first"/>
          <w:footerReference r:id="rId5" w:type="first"/>
          <w:headerReference r:id="rId3" w:type="default"/>
          <w:pgSz w:w="11906" w:h="16838"/>
          <w:pgMar w:top="1440" w:right="1800" w:bottom="1440" w:left="1800" w:header="851" w:footer="992" w:gutter="0"/>
          <w:cols w:space="425" w:num="1"/>
          <w:docGrid w:type="lines" w:linePitch="312" w:charSpace="0"/>
        </w:sectPr>
      </w:pPr>
    </w:p>
    <w:p>
      <w:pPr>
        <w:numPr>
          <w:ilvl w:val="0"/>
          <w:numId w:val="0"/>
        </w:numPr>
        <w:ind w:left="-619" w:leftChars="-295" w:right="-733" w:rightChars="-349"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一、总述</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1.项目描述</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该项目建设单位为田林百矿田田碳素有限公司。</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田林百矿田田碳素有限公司是吉利百矿集团有限公司旗下子公司，公司注册资本5000万元。</w:t>
      </w:r>
      <w:r>
        <w:rPr>
          <w:rFonts w:hint="eastAsia" w:ascii="仿宋_GB2312" w:hAnsi="仿宋" w:eastAsia="仿宋_GB2312"/>
          <w:sz w:val="32"/>
          <w:szCs w:val="32"/>
        </w:rPr>
        <w:t>田林百矿田田碳素有限公司 40</w:t>
      </w:r>
      <w:r>
        <w:rPr>
          <w:rFonts w:hint="eastAsia" w:ascii="仿宋_GB2312" w:hAnsi="仿宋" w:eastAsia="仿宋_GB2312"/>
          <w:sz w:val="32"/>
          <w:szCs w:val="32"/>
          <w:lang w:val="en-US" w:eastAsia="zh-CN"/>
        </w:rPr>
        <w:t>0</w:t>
      </w:r>
      <w:r>
        <w:rPr>
          <w:rFonts w:hint="eastAsia" w:ascii="仿宋_GB2312" w:hAnsi="仿宋" w:eastAsia="仿宋_GB2312"/>
          <w:sz w:val="32"/>
          <w:szCs w:val="32"/>
        </w:rPr>
        <w:t>kt/a 预焙阳极碳素项目位于田林县旧州镇板坚村桂黔（田林）经济合作产业园内，</w:t>
      </w:r>
      <w:r>
        <w:rPr>
          <w:rFonts w:hint="eastAsia" w:ascii="仿宋_GB2312" w:hAnsi="仿宋" w:eastAsia="仿宋_GB2312"/>
          <w:sz w:val="32"/>
          <w:szCs w:val="32"/>
          <w:lang w:val="en-US" w:eastAsia="zh-CN"/>
        </w:rPr>
        <w:t>项目总投资12亿元，</w:t>
      </w:r>
      <w:r>
        <w:rPr>
          <w:rFonts w:hint="eastAsia" w:ascii="仿宋_GB2312" w:hAnsi="仿宋" w:eastAsia="仿宋_GB2312"/>
          <w:sz w:val="32"/>
          <w:szCs w:val="32"/>
        </w:rPr>
        <w:t>为</w:t>
      </w:r>
      <w:r>
        <w:rPr>
          <w:rFonts w:hint="eastAsia" w:ascii="仿宋_GB2312" w:hAnsi="仿宋" w:eastAsia="仿宋_GB2312"/>
          <w:sz w:val="32"/>
          <w:szCs w:val="32"/>
          <w:lang w:val="en-US" w:eastAsia="zh-CN"/>
        </w:rPr>
        <w:t>吉利</w:t>
      </w:r>
      <w:r>
        <w:rPr>
          <w:rFonts w:hint="eastAsia" w:ascii="仿宋_GB2312" w:hAnsi="仿宋" w:eastAsia="仿宋_GB2312"/>
          <w:sz w:val="32"/>
          <w:szCs w:val="32"/>
        </w:rPr>
        <w:t>百矿集团有限公司德保30万吨、田林30万吨和隆林20万吨电解铝项目供应预焙阳极配套项目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 xml:space="preserve">是吉利百矿集团煤电铝一体化项目配套的主要工程。 </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田林百矿田田碳素有限公司拟委托有资质的技术服务机构，按照国家法律法规和行业标准的规定，按照公司安全生产实际建立健全应急预案管理体系，编制突发环境污染事故综合应急预案、专项应急预案和现场处置方案等。</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公司400kt/a预焙阳极碳素项目生产期间可能发生以下事故类型：有毒有害物质污染事故、废水废气非正常排放污染事故、油污染事故、其他突发环境污染事故等。</w:t>
      </w:r>
    </w:p>
    <w:p>
      <w:pPr>
        <w:numPr>
          <w:ilvl w:val="0"/>
          <w:numId w:val="0"/>
        </w:numPr>
        <w:ind w:left="-619"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2.技术任务书说明</w:t>
      </w:r>
    </w:p>
    <w:p>
      <w:pPr>
        <w:numPr>
          <w:ilvl w:val="0"/>
          <w:numId w:val="0"/>
        </w:numPr>
        <w:ind w:left="-617" w:leftChars="-294" w:right="-733" w:rightChars="-349" w:firstLine="0" w:firstLineChars="0"/>
        <w:rPr>
          <w:rFonts w:hint="eastAsia" w:ascii="仿宋_GB2312" w:hAnsi="仿宋" w:eastAsia="仿宋_GB2312"/>
          <w:b/>
          <w:bCs/>
          <w:sz w:val="32"/>
          <w:szCs w:val="32"/>
          <w:lang w:val="en-US" w:eastAsia="zh-CN"/>
        </w:rPr>
      </w:pPr>
      <w:r>
        <w:rPr>
          <w:rFonts w:hint="eastAsia" w:ascii="仿宋_GB2312" w:hAnsi="仿宋" w:eastAsia="仿宋_GB2312"/>
          <w:sz w:val="32"/>
          <w:szCs w:val="32"/>
          <w:lang w:val="en-US" w:eastAsia="zh-CN"/>
        </w:rPr>
        <w:t xml:space="preserve">    技术任务书具有与协议同等的法律效力，是协议的重要组成部分。投标方应仔细阅读技术任务书中的各项条款，如不能满足某项条款要求，投标方需明确指出，并提出不能满足的原因和投标方的解决方案。如投标方未明确指出，将会被默认为无条件响应招标文件要求。      </w:t>
      </w:r>
    </w:p>
    <w:p>
      <w:pPr>
        <w:numPr>
          <w:ilvl w:val="0"/>
          <w:numId w:val="0"/>
        </w:numPr>
        <w:ind w:left="23" w:leftChars="11" w:right="-733" w:rightChars="-349" w:firstLine="39" w:firstLineChars="12"/>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二、范围</w:t>
      </w:r>
    </w:p>
    <w:p>
      <w:pPr>
        <w:numPr>
          <w:ilvl w:val="0"/>
          <w:numId w:val="0"/>
        </w:numPr>
        <w:ind w:leftChars="-295" w:right="-733" w:rightChars="-349"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根据国家环境保护方面的法律法规和标准，按环境污染事故应急预案编制技术指南的要求，对田林百矿田田碳素有限公司400kt/a预焙阳极碳素项目完成环境污染事故相关应急预案编制工作。</w:t>
      </w:r>
    </w:p>
    <w:p>
      <w:pPr>
        <w:numPr>
          <w:ilvl w:val="0"/>
          <w:numId w:val="0"/>
        </w:numPr>
        <w:ind w:left="-619" w:leftChars="-295" w:right="-733" w:rightChars="-349"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三、要求</w:t>
      </w:r>
    </w:p>
    <w:p>
      <w:pPr>
        <w:numPr>
          <w:ilvl w:val="0"/>
          <w:numId w:val="0"/>
        </w:numPr>
        <w:ind w:leftChars="-295" w:right="-733" w:rightChars="-349" w:firstLine="640" w:firstLineChars="200"/>
        <w:rPr>
          <w:rFonts w:hint="default"/>
          <w:b w:val="0"/>
          <w:bCs w:val="0"/>
          <w:sz w:val="32"/>
          <w:szCs w:val="40"/>
          <w:lang w:val="en-US" w:eastAsia="zh-CN"/>
        </w:rPr>
      </w:pPr>
      <w:r>
        <w:rPr>
          <w:rFonts w:hint="eastAsia" w:ascii="仿宋_GB2312" w:hAnsi="仿宋" w:eastAsia="仿宋_GB2312"/>
          <w:sz w:val="32"/>
          <w:szCs w:val="32"/>
          <w:lang w:val="en-US" w:eastAsia="zh-CN"/>
        </w:rPr>
        <w:t>1.投标方应具备甲方所需求的400kt/a预焙阳极碳素项目突发环境污染事故应急预案编制相关资质条件，并向甲方提供合法有效的营业执照、许可资质证件。诺投标方无法提供上述相关证件资料，则视为不合规投标，自动放弃投标资格。</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甲方所委托对400kt/a预焙阳极碳素项目突发环境污染事故应急预案编制工作为“交钥匙”工程，被委托方按国家环保法律法规和标准要求，负责完成400kt/a预焙阳极碳素项目应突发环境污染事故急预案编制工作全过程事项。</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被委托方根据国家环境保护法、环境污染事故应急预案编制技术指南及标准等的规定,针对可能发生的环境事故（件）或灾害，以保证迅速、有效、有序地开展应急与救援行动，降低事故损失而事先编制的有关方案。</w:t>
      </w:r>
    </w:p>
    <w:p>
      <w:pPr>
        <w:numPr>
          <w:ilvl w:val="0"/>
          <w:numId w:val="0"/>
        </w:numPr>
        <w:ind w:leftChars="-295" w:right="-733" w:rightChars="-349"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4.突发环境事故应急预案编制内容的基本要求</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4.1预案内容不仅要包括应急处置，还要包括预防预警、恢复重建；不仅要有应对措施，还要有组织体系、响应机制和保障手段。 </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4.2预案内容务必切合实际、有针对性。</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4.3应急预案的编制要以事故风险分析为前提。    </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4.4编制应急预案要本着"通俗易懂，便于操作"的原则</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应急责任要"明晰"，明晰责任是应急预案的基本要求。要切实做到责任落实到岗，任务落实到人，流程牢记在心。一旦发生故事时实施有效、科学、有序的报告、救援、处置等程序，防止事故扩大或恶化，最大限度地降低事故造成的损失和危害。 </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4.6预案不是孤立</w:t>
      </w:r>
      <w:bookmarkStart w:id="0" w:name="_GoBack"/>
      <w:bookmarkEnd w:id="0"/>
      <w:r>
        <w:rPr>
          <w:rFonts w:hint="eastAsia" w:ascii="仿宋_GB2312" w:hAnsi="仿宋" w:eastAsia="仿宋_GB2312"/>
          <w:sz w:val="32"/>
          <w:szCs w:val="32"/>
          <w:lang w:val="en-US" w:eastAsia="zh-CN"/>
        </w:rPr>
        <w:t>，务必衔接配套，实现企业与政府、企业与关联单位、企业内部之间预案的有效衔接。</w:t>
      </w:r>
    </w:p>
    <w:p>
      <w:pPr>
        <w:numPr>
          <w:ilvl w:val="0"/>
          <w:numId w:val="0"/>
        </w:numPr>
        <w:ind w:left="-619" w:leftChars="-295" w:right="-733" w:rightChars="-349"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四、编制周期及交货地点</w:t>
      </w:r>
    </w:p>
    <w:p>
      <w:pPr>
        <w:numPr>
          <w:ilvl w:val="0"/>
          <w:numId w:val="0"/>
        </w:numPr>
        <w:ind w:right="-733" w:rightChars="-34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1.编制周期：2022年10月--2022年11月</w:t>
      </w:r>
    </w:p>
    <w:p>
      <w:pPr>
        <w:numPr>
          <w:ilvl w:val="0"/>
          <w:numId w:val="0"/>
        </w:numPr>
        <w:ind w:left="-619" w:leftChars="-295" w:right="-733" w:rightChars="-349" w:firstLine="617" w:firstLineChars="193"/>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2.交货地点：应急预案编制经专家评审后备案，备案后将预案电子版、盖章文本及其扫描件等相关材料交至田林百矿田田碳素有限公司。</w:t>
      </w:r>
    </w:p>
    <w:p>
      <w:pPr>
        <w:numPr>
          <w:ilvl w:val="0"/>
          <w:numId w:val="0"/>
        </w:numPr>
        <w:ind w:leftChars="-295" w:right="-733" w:rightChars="-349"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五、安全约定</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1.投标方人员到甲方公司项目现场调研时必须遵守甲方安全管理制度及相关规定，服从甲方人员指挥。</w:t>
      </w:r>
    </w:p>
    <w:p>
      <w:pPr>
        <w:numPr>
          <w:ilvl w:val="0"/>
          <w:numId w:val="0"/>
        </w:numPr>
        <w:ind w:leftChars="-295" w:right="-733" w:rightChars="-349"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2.投标人员在甲方厂区内，未经允许不得擅自离开固定场所和不得进入生产区域或相关区域。</w:t>
      </w:r>
    </w:p>
    <w:p>
      <w:pPr>
        <w:numPr>
          <w:ilvl w:val="0"/>
          <w:numId w:val="0"/>
        </w:numPr>
        <w:ind w:leftChars="-295" w:right="-733" w:rightChars="-349"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六、处理信息</w:t>
      </w:r>
    </w:p>
    <w:p>
      <w:pPr>
        <w:numPr>
          <w:ilvl w:val="0"/>
          <w:numId w:val="0"/>
        </w:numPr>
        <w:ind w:right="-733" w:rightChars="-34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ind w:leftChars="-295" w:right="-733" w:rightChars="-349"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七、其他说明</w:t>
      </w:r>
    </w:p>
    <w:p>
      <w:pPr>
        <w:numPr>
          <w:ilvl w:val="0"/>
          <w:numId w:val="0"/>
        </w:numPr>
        <w:ind w:leftChars="-295" w:right="-733" w:rightChars="-349"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未尽事宜，甲乙双方协商解决。</w:t>
      </w:r>
    </w:p>
    <w:p/>
    <w:p/>
    <w:p/>
    <w:p/>
    <w:sectPr>
      <w:headerReference r:id="rId7" w:type="first"/>
      <w:footerReference r:id="rId9" w:type="first"/>
      <w:headerReference r:id="rId6" w:type="default"/>
      <w:footerReference r:id="rId8" w:type="default"/>
      <w:pgSz w:w="11849" w:h="16781"/>
      <w:pgMar w:top="1145" w:right="1417" w:bottom="1162" w:left="1468" w:header="0" w:footer="0" w:gutter="0"/>
      <w:pgNumType w:fmt="decimal"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460"/>
        <w:tab w:val="clear" w:pos="8306"/>
      </w:tabs>
      <w:ind w:left="-1260" w:leftChars="-600" w:firstLine="0" w:firstLineChars="0"/>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text" w:horzAnchor="page" w:tblpXSpec="center" w:tblpY="874"/>
      <w:tblOverlap w:val="never"/>
      <w:tblW w:w="851" w:type="dxa"/>
      <w:jc w:val="center"/>
      <w:tblLayout w:type="fixed"/>
      <w:tblCellMar>
        <w:top w:w="0" w:type="dxa"/>
        <w:left w:w="0" w:type="dxa"/>
        <w:bottom w:w="0" w:type="dxa"/>
        <w:right w:w="0" w:type="dxa"/>
      </w:tblCellMar>
    </w:tblPr>
    <w:tblGrid>
      <w:gridCol w:w="851"/>
    </w:tblGrid>
    <w:tr>
      <w:tblPrEx>
        <w:tblCellMar>
          <w:top w:w="0" w:type="dxa"/>
          <w:left w:w="0" w:type="dxa"/>
          <w:bottom w:w="0" w:type="dxa"/>
          <w:right w:w="0" w:type="dxa"/>
        </w:tblCellMar>
      </w:tblPrEx>
      <w:trPr>
        <w:trHeight w:val="629" w:hRule="atLeast"/>
        <w:jc w:val="center"/>
      </w:trPr>
      <w:tc>
        <w:tcPr>
          <w:tcW w:w="851" w:type="dxa"/>
          <w:vAlign w:val="center"/>
        </w:tcPr>
        <w:p>
          <w:pPr>
            <w:pStyle w:val="4"/>
            <w:pBdr>
              <w:top w:val="none" w:color="auto" w:sz="0" w:space="0"/>
              <w:left w:val="none" w:color="auto" w:sz="0" w:space="0"/>
              <w:bottom w:val="none" w:color="auto" w:sz="0" w:space="0"/>
              <w:right w:val="none" w:color="auto" w:sz="0" w:space="0"/>
            </w:pBdr>
            <w:jc w:val="center"/>
          </w:pPr>
        </w:p>
      </w:tc>
    </w:tr>
  </w:tbl>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mNhYWExMWZmMDljZGFhMTU1OWU5NmRjNTQwN2EifQ=="/>
  </w:docVars>
  <w:rsids>
    <w:rsidRoot w:val="10E25991"/>
    <w:rsid w:val="023046BB"/>
    <w:rsid w:val="0A86577B"/>
    <w:rsid w:val="10E25991"/>
    <w:rsid w:val="1B1E1106"/>
    <w:rsid w:val="1DE934EA"/>
    <w:rsid w:val="31492094"/>
    <w:rsid w:val="33EC03BC"/>
    <w:rsid w:val="34895D00"/>
    <w:rsid w:val="3CC72F54"/>
    <w:rsid w:val="49BC1967"/>
    <w:rsid w:val="79AA59CF"/>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wordWrap w:val="0"/>
      <w:topLinePunct/>
      <w:autoSpaceDE w:val="0"/>
      <w:autoSpaceDN w:val="0"/>
      <w:spacing w:before="100" w:beforeLines="100" w:after="100" w:afterLines="100" w:line="300" w:lineRule="auto"/>
      <w:jc w:val="center"/>
      <w:textAlignment w:val="baseline"/>
      <w:outlineLvl w:val="0"/>
    </w:pPr>
    <w:rPr>
      <w:rFonts w:ascii="Times New Roman" w:hAnsi="Times New Roman" w:eastAsia="仿宋_GB2312" w:cs="Times New Roman"/>
      <w:b/>
      <w:spacing w:val="17"/>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line="460" w:lineRule="exact"/>
    </w:pPr>
    <w:rPr>
      <w:rFonts w:ascii="Times New Roman" w:hAnsi="Times New Roman" w:eastAsia="宋体" w:cs="Times New Roman"/>
      <w:sz w:val="24"/>
    </w:rPr>
  </w:style>
  <w:style w:type="character" w:customStyle="1" w:styleId="8">
    <w:name w:val="标题 1 Char"/>
    <w:link w:val="2"/>
    <w:qFormat/>
    <w:uiPriority w:val="0"/>
    <w:rPr>
      <w:rFonts w:ascii="Times New Roman" w:hAnsi="Times New Roman" w:eastAsia="仿宋_GB2312" w:cs="Times New Roman"/>
      <w:b/>
      <w:spacing w:val="17"/>
      <w:kern w:val="44"/>
      <w:sz w:val="36"/>
    </w:rPr>
  </w:style>
  <w:style w:type="paragraph" w:customStyle="1" w:styleId="9">
    <w:name w:val="Default"/>
    <w:qFormat/>
    <w:uiPriority w:val="0"/>
    <w:pPr>
      <w:widowControl w:val="0"/>
      <w:autoSpaceDE w:val="0"/>
      <w:autoSpaceDN w:val="0"/>
      <w:adjustRightInd w:val="0"/>
    </w:pPr>
    <w:rPr>
      <w:rFonts w:ascii="黑体" w:hAnsi="Calibri"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1479</Words>
  <Characters>1564</Characters>
  <Lines>0</Lines>
  <Paragraphs>0</Paragraphs>
  <TotalTime>18</TotalTime>
  <ScaleCrop>false</ScaleCrop>
  <LinksUpToDate>false</LinksUpToDate>
  <CharactersWithSpaces>1671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2022-10-17T07:47:00Z</dcterms:created>
  <dc:creator>Administrator</dc:creator>
  <cp:lastModifiedBy>Administrator</cp:lastModifiedBy>
  <dcterms:modified xsi:type="dcterms:W3CDTF">2022-10-19T02:21:21Z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A196D1C49CF74A2A91941579475155DB</vt:lpwstr>
  </property>
</Properties>
</file>