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44"/>
          <w:szCs w:val="44"/>
          <w:highlight w:val="none"/>
        </w:rPr>
      </w:pPr>
      <w:r>
        <w:rPr>
          <w:rFonts w:hint="eastAsia" w:ascii="微软雅黑" w:hAnsi="微软雅黑" w:eastAsia="微软雅黑" w:cs="微软雅黑"/>
          <w:b/>
          <w:color w:val="auto"/>
          <w:sz w:val="44"/>
          <w:szCs w:val="44"/>
          <w:highlight w:val="none"/>
          <w:lang w:eastAsia="zh-CN"/>
        </w:rPr>
        <w:t>百色百矿发电有限公司田东电厂2022年房屋质量鉴定项目</w:t>
      </w:r>
      <w:r>
        <w:rPr>
          <w:rFonts w:hint="eastAsia" w:ascii="微软雅黑" w:hAnsi="微软雅黑" w:eastAsia="微软雅黑" w:cs="微软雅黑"/>
          <w:b/>
          <w:color w:val="auto"/>
          <w:sz w:val="44"/>
          <w:szCs w:val="44"/>
          <w:highlight w:val="none"/>
        </w:rPr>
        <w:t>招标公告</w:t>
      </w:r>
    </w:p>
    <w:p>
      <w:pPr>
        <w:spacing w:line="440" w:lineRule="exact"/>
        <w:jc w:val="center"/>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采购类别：</w:t>
      </w:r>
      <w:r>
        <w:rPr>
          <w:rFonts w:hint="eastAsia" w:ascii="微软雅黑" w:hAnsi="微软雅黑" w:eastAsia="微软雅黑" w:cs="微软雅黑"/>
          <w:b/>
          <w:color w:val="auto"/>
          <w:sz w:val="24"/>
          <w:szCs w:val="24"/>
          <w:highlight w:val="none"/>
          <w:lang w:val="en-US" w:eastAsia="zh-CN"/>
        </w:rPr>
        <w:t>工程类</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val="en-US" w:eastAsia="zh-CN"/>
        </w:rPr>
        <w:t>百色百矿发电有限公司田东电厂2022年房屋质量鉴定项目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2.1项目概况：</w:t>
      </w:r>
    </w:p>
    <w:p>
      <w:pPr>
        <w:spacing w:line="440" w:lineRule="exact"/>
        <w:ind w:firstLine="480" w:firstLineChars="200"/>
        <w:rPr>
          <w:rFonts w:hint="eastAsia"/>
        </w:rPr>
      </w:pPr>
      <w:r>
        <w:rPr>
          <w:rFonts w:hint="eastAsia" w:ascii="微软雅黑" w:hAnsi="微软雅黑" w:eastAsia="微软雅黑" w:cs="微软雅黑"/>
          <w:sz w:val="24"/>
          <w:highlight w:val="none"/>
          <w:lang w:val="en-US" w:eastAsia="zh-CN"/>
        </w:rPr>
        <w:t>百色百矿发电有限公司田东电厂（以下简称“田东电厂”）百色百矿发电有限公司田东电厂（以下简称“田东电厂”）位于广西田东县祥周镇新洲村，其距南宁市约200km，厂址东距田东县城约10km，田东电厂需进行房屋质量鉴定的</w:t>
      </w:r>
      <w:r>
        <w:rPr>
          <w:rFonts w:hint="eastAsia" w:ascii="微软雅黑" w:hAnsi="微软雅黑" w:eastAsia="微软雅黑" w:cs="微软雅黑"/>
          <w:sz w:val="24"/>
          <w:highlight w:val="none"/>
        </w:rPr>
        <w:t>总建筑面积18,993.68㎡</w:t>
      </w:r>
      <w:r>
        <w:rPr>
          <w:rFonts w:hint="eastAsia" w:ascii="微软雅黑" w:hAnsi="微软雅黑" w:eastAsia="微软雅黑" w:cs="微软雅黑"/>
          <w:sz w:val="24"/>
          <w:highlight w:val="none"/>
          <w:lang w:eastAsia="zh-CN"/>
        </w:rPr>
        <w:t>。</w:t>
      </w:r>
      <w:r>
        <w:rPr>
          <w:rFonts w:hint="eastAsia" w:ascii="微软雅黑" w:hAnsi="微软雅黑" w:eastAsia="微软雅黑" w:cs="微软雅黑"/>
          <w:sz w:val="24"/>
          <w:highlight w:val="none"/>
          <w:lang w:val="en-US" w:eastAsia="zh-CN"/>
        </w:rPr>
        <w:t>本次计划田东电厂厂区内房屋建筑进行安全鉴定。</w:t>
      </w:r>
      <w:r>
        <w:rPr>
          <w:rFonts w:hint="eastAsia" w:ascii="微软雅黑" w:hAnsi="微软雅黑" w:eastAsia="微软雅黑" w:cs="微软雅黑"/>
          <w:sz w:val="24"/>
          <w:lang w:val="en-US" w:eastAsia="zh-CN"/>
        </w:rPr>
        <w:t>现就百色百矿发电有限公司田东电厂2022年房屋质量鉴定项目进行招标，欢迎有实力的公司参与此次招标活动。</w:t>
      </w:r>
    </w:p>
    <w:p>
      <w:pPr>
        <w:adjustRightInd w:val="0"/>
        <w:snapToGrid w:val="0"/>
        <w:jc w:val="left"/>
        <w:rPr>
          <w:rFonts w:hint="eastAsia" w:ascii="微软雅黑" w:hAnsi="微软雅黑" w:eastAsia="微软雅黑" w:cs="华文仿宋"/>
          <w:b/>
          <w:bCs/>
          <w:color w:val="000000"/>
          <w:sz w:val="24"/>
          <w:szCs w:val="24"/>
        </w:rPr>
      </w:pPr>
      <w:r>
        <w:rPr>
          <w:rFonts w:hint="eastAsia" w:ascii="微软雅黑" w:hAnsi="微软雅黑" w:eastAsia="微软雅黑" w:cs="华文仿宋"/>
          <w:b/>
          <w:bCs/>
          <w:color w:val="000000"/>
          <w:sz w:val="24"/>
          <w:szCs w:val="24"/>
        </w:rPr>
        <w:t>2.2招标范围：</w:t>
      </w:r>
    </w:p>
    <w:tbl>
      <w:tblPr>
        <w:tblStyle w:val="15"/>
        <w:tblW w:w="8715" w:type="dxa"/>
        <w:tblInd w:w="0" w:type="dxa"/>
        <w:shd w:val="clear" w:color="auto" w:fill="auto"/>
        <w:tblLayout w:type="fixed"/>
        <w:tblCellMar>
          <w:top w:w="0" w:type="dxa"/>
          <w:left w:w="0" w:type="dxa"/>
          <w:bottom w:w="0" w:type="dxa"/>
          <w:right w:w="0" w:type="dxa"/>
        </w:tblCellMar>
      </w:tblPr>
      <w:tblGrid>
        <w:gridCol w:w="1575"/>
        <w:gridCol w:w="1305"/>
        <w:gridCol w:w="2145"/>
        <w:gridCol w:w="1170"/>
        <w:gridCol w:w="2520"/>
      </w:tblGrid>
      <w:tr>
        <w:tblPrEx>
          <w:tblLayout w:type="fixed"/>
          <w:tblCellMar>
            <w:top w:w="0" w:type="dxa"/>
            <w:left w:w="0" w:type="dxa"/>
            <w:bottom w:w="0" w:type="dxa"/>
            <w:right w:w="0" w:type="dxa"/>
          </w:tblCellMar>
        </w:tblPrEx>
        <w:trPr>
          <w:trHeight w:val="40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地点位置</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楼栋编号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层数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建筑面积（m</w:t>
            </w:r>
            <w:r>
              <w:rPr>
                <w:rStyle w:val="31"/>
                <w:lang w:val="en-US" w:eastAsia="zh-CN" w:bidi="ar"/>
              </w:rPr>
              <w:t>2</w:t>
            </w:r>
            <w:r>
              <w:rPr>
                <w:rStyle w:val="32"/>
                <w:lang w:val="en-US" w:eastAsia="zh-CN" w:bidi="ar"/>
              </w:rPr>
              <w:t>)</w:t>
            </w:r>
          </w:p>
        </w:tc>
      </w:tr>
      <w:tr>
        <w:tblPrEx>
          <w:tblLayout w:type="fixed"/>
          <w:tblCellMar>
            <w:top w:w="0" w:type="dxa"/>
            <w:left w:w="0" w:type="dxa"/>
            <w:bottom w:w="0" w:type="dxa"/>
            <w:right w:w="0" w:type="dxa"/>
          </w:tblCellMar>
        </w:tblPrEx>
        <w:trPr>
          <w:trHeight w:val="405" w:hRule="atLeast"/>
        </w:trPr>
        <w:tc>
          <w:tcPr>
            <w:tcW w:w="15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田东电厂</w:t>
            </w:r>
            <w:bookmarkStart w:id="0" w:name="_GoBack"/>
            <w:bookmarkEnd w:id="0"/>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新厂#1宿舍楼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5,600.00</w:t>
            </w:r>
          </w:p>
        </w:tc>
      </w:tr>
      <w:tr>
        <w:tblPrEx>
          <w:tblLayout w:type="fixed"/>
          <w:tblCellMar>
            <w:top w:w="0" w:type="dxa"/>
            <w:left w:w="0" w:type="dxa"/>
            <w:bottom w:w="0" w:type="dxa"/>
            <w:right w:w="0" w:type="dxa"/>
          </w:tblCellMar>
        </w:tblPrEx>
        <w:trPr>
          <w:trHeight w:val="400"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新厂检修楼（1-3）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3,083.85</w:t>
            </w:r>
          </w:p>
        </w:tc>
      </w:tr>
      <w:tr>
        <w:tblPrEx>
          <w:tblLayout w:type="fixed"/>
          <w:tblCellMar>
            <w:top w:w="0" w:type="dxa"/>
            <w:left w:w="0" w:type="dxa"/>
            <w:bottom w:w="0" w:type="dxa"/>
            <w:right w:w="0" w:type="dxa"/>
          </w:tblCellMar>
        </w:tblPrEx>
        <w:trPr>
          <w:trHeight w:val="395"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新厂#2宿舍楼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2,048.40</w:t>
            </w:r>
          </w:p>
        </w:tc>
      </w:tr>
      <w:tr>
        <w:tblPrEx>
          <w:tblLayout w:type="fixed"/>
          <w:tblCellMar>
            <w:top w:w="0" w:type="dxa"/>
            <w:left w:w="0" w:type="dxa"/>
            <w:bottom w:w="0" w:type="dxa"/>
            <w:right w:w="0" w:type="dxa"/>
          </w:tblCellMar>
        </w:tblPrEx>
        <w:trPr>
          <w:trHeight w:val="405"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老厂#5楼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1509.04</w:t>
            </w:r>
          </w:p>
        </w:tc>
      </w:tr>
      <w:tr>
        <w:tblPrEx>
          <w:tblLayout w:type="fixed"/>
          <w:tblCellMar>
            <w:top w:w="0" w:type="dxa"/>
            <w:left w:w="0" w:type="dxa"/>
            <w:bottom w:w="0" w:type="dxa"/>
            <w:right w:w="0" w:type="dxa"/>
          </w:tblCellMar>
        </w:tblPrEx>
        <w:trPr>
          <w:trHeight w:val="350"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老厂#6楼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1760.96</w:t>
            </w:r>
          </w:p>
        </w:tc>
      </w:tr>
      <w:tr>
        <w:tblPrEx>
          <w:tblLayout w:type="fixed"/>
          <w:tblCellMar>
            <w:top w:w="0" w:type="dxa"/>
            <w:left w:w="0" w:type="dxa"/>
            <w:bottom w:w="0" w:type="dxa"/>
            <w:right w:w="0" w:type="dxa"/>
          </w:tblCellMar>
        </w:tblPrEx>
        <w:trPr>
          <w:trHeight w:val="335"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老厂#7楼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918.00</w:t>
            </w:r>
          </w:p>
        </w:tc>
      </w:tr>
      <w:tr>
        <w:tblPrEx>
          <w:tblLayout w:type="fixed"/>
          <w:tblCellMar>
            <w:top w:w="0" w:type="dxa"/>
            <w:left w:w="0" w:type="dxa"/>
            <w:bottom w:w="0" w:type="dxa"/>
            <w:right w:w="0" w:type="dxa"/>
          </w:tblCellMar>
        </w:tblPrEx>
        <w:trPr>
          <w:trHeight w:val="350"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老厂#8楼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1138.83</w:t>
            </w:r>
          </w:p>
        </w:tc>
      </w:tr>
      <w:tr>
        <w:tblPrEx>
          <w:tblLayout w:type="fixed"/>
          <w:tblCellMar>
            <w:top w:w="0" w:type="dxa"/>
            <w:left w:w="0" w:type="dxa"/>
            <w:bottom w:w="0" w:type="dxa"/>
            <w:right w:w="0" w:type="dxa"/>
          </w:tblCellMar>
        </w:tblPrEx>
        <w:trPr>
          <w:trHeight w:val="350"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老厂#9楼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1008.60</w:t>
            </w:r>
          </w:p>
        </w:tc>
      </w:tr>
      <w:tr>
        <w:tblPrEx>
          <w:tblLayout w:type="fixed"/>
          <w:tblCellMar>
            <w:top w:w="0" w:type="dxa"/>
            <w:left w:w="0" w:type="dxa"/>
            <w:bottom w:w="0" w:type="dxa"/>
            <w:right w:w="0" w:type="dxa"/>
          </w:tblCellMar>
        </w:tblPrEx>
        <w:trPr>
          <w:trHeight w:val="365"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老厂#15楼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795.60</w:t>
            </w:r>
          </w:p>
        </w:tc>
      </w:tr>
      <w:tr>
        <w:tblPrEx>
          <w:tblLayout w:type="fixed"/>
          <w:tblCellMar>
            <w:top w:w="0" w:type="dxa"/>
            <w:left w:w="0" w:type="dxa"/>
            <w:bottom w:w="0" w:type="dxa"/>
            <w:right w:w="0" w:type="dxa"/>
          </w:tblCellMar>
        </w:tblPrEx>
        <w:trPr>
          <w:trHeight w:val="380" w:hRule="atLeast"/>
        </w:trPr>
        <w:tc>
          <w:tcPr>
            <w:tcW w:w="15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老厂#16楼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1130.40</w:t>
            </w:r>
          </w:p>
        </w:tc>
      </w:tr>
      <w:tr>
        <w:tblPrEx>
          <w:tblLayout w:type="fixed"/>
          <w:tblCellMar>
            <w:top w:w="0" w:type="dxa"/>
            <w:left w:w="0" w:type="dxa"/>
            <w:bottom w:w="0" w:type="dxa"/>
            <w:right w:w="0" w:type="dxa"/>
          </w:tblCellMar>
        </w:tblPrEx>
        <w:trPr>
          <w:trHeight w:val="37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Style w:val="32"/>
                <w:lang w:val="en-US" w:eastAsia="zh-CN" w:bidi="ar"/>
              </w:rPr>
              <w:t>共计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18,993.68</w:t>
            </w:r>
          </w:p>
        </w:tc>
      </w:tr>
    </w:tbl>
    <w:p>
      <w:pPr>
        <w:adjustRightInd w:val="0"/>
        <w:snapToGrid w:val="0"/>
        <w:ind w:firstLine="480" w:firstLineChars="200"/>
        <w:jc w:val="left"/>
        <w:rPr>
          <w:rFonts w:hint="eastAsia" w:ascii="微软雅黑" w:hAnsi="微软雅黑" w:eastAsia="微软雅黑" w:cs="华文仿宋"/>
          <w:color w:val="000000"/>
          <w:sz w:val="24"/>
          <w:szCs w:val="24"/>
        </w:rPr>
      </w:pPr>
      <w:r>
        <w:rPr>
          <w:rFonts w:hint="eastAsia" w:ascii="微软雅黑" w:hAnsi="微软雅黑" w:eastAsia="微软雅黑" w:cs="微软雅黑"/>
          <w:sz w:val="24"/>
          <w:highlight w:val="none"/>
          <w:lang w:val="en-US" w:eastAsia="zh-CN"/>
        </w:rPr>
        <w:t>对</w:t>
      </w:r>
      <w:r>
        <w:rPr>
          <w:rFonts w:hint="eastAsia" w:ascii="微软雅黑" w:hAnsi="微软雅黑" w:eastAsia="微软雅黑" w:cs="微软雅黑"/>
          <w:sz w:val="24"/>
          <w:lang w:val="en-US" w:eastAsia="zh-CN"/>
        </w:rPr>
        <w:t>以上建筑</w:t>
      </w:r>
      <w:r>
        <w:rPr>
          <w:rFonts w:hint="eastAsia" w:ascii="微软雅黑" w:hAnsi="微软雅黑" w:eastAsia="微软雅黑" w:cs="华文仿宋"/>
          <w:color w:val="000000"/>
          <w:sz w:val="24"/>
          <w:szCs w:val="24"/>
        </w:rPr>
        <w:t>实体</w:t>
      </w:r>
      <w:r>
        <w:rPr>
          <w:rFonts w:ascii="微软雅黑" w:hAnsi="微软雅黑" w:eastAsia="微软雅黑" w:cs="华文仿宋"/>
          <w:color w:val="000000"/>
          <w:sz w:val="24"/>
          <w:szCs w:val="24"/>
        </w:rPr>
        <w:t>进行</w:t>
      </w:r>
      <w:r>
        <w:rPr>
          <w:rFonts w:hint="eastAsia" w:ascii="微软雅黑" w:hAnsi="微软雅黑" w:eastAsia="微软雅黑" w:cs="华文仿宋"/>
          <w:color w:val="000000"/>
          <w:sz w:val="24"/>
          <w:szCs w:val="24"/>
        </w:rPr>
        <w:t>质量</w:t>
      </w:r>
      <w:r>
        <w:rPr>
          <w:rFonts w:hint="eastAsia" w:ascii="微软雅黑" w:hAnsi="微软雅黑" w:eastAsia="微软雅黑" w:cs="华文仿宋"/>
          <w:color w:val="000000"/>
          <w:sz w:val="24"/>
          <w:szCs w:val="24"/>
          <w:lang w:val="en-US" w:eastAsia="zh-CN"/>
        </w:rPr>
        <w:t>鉴定</w:t>
      </w:r>
      <w:r>
        <w:rPr>
          <w:rFonts w:hint="eastAsia" w:ascii="微软雅黑" w:hAnsi="微软雅黑" w:eastAsia="微软雅黑" w:cs="华文仿宋"/>
          <w:color w:val="000000"/>
          <w:sz w:val="24"/>
          <w:szCs w:val="24"/>
        </w:rPr>
        <w:t>，</w:t>
      </w:r>
      <w:r>
        <w:rPr>
          <w:rFonts w:ascii="微软雅黑" w:hAnsi="微软雅黑" w:eastAsia="微软雅黑" w:cs="华文仿宋"/>
          <w:color w:val="000000"/>
          <w:sz w:val="24"/>
          <w:szCs w:val="24"/>
        </w:rPr>
        <w:t>并出具</w:t>
      </w:r>
      <w:r>
        <w:rPr>
          <w:rFonts w:hint="eastAsia" w:ascii="微软雅黑" w:hAnsi="微软雅黑" w:eastAsia="微软雅黑" w:cs="华文仿宋"/>
          <w:color w:val="000000"/>
          <w:sz w:val="24"/>
          <w:szCs w:val="24"/>
          <w:lang w:val="en-US" w:eastAsia="zh-CN"/>
        </w:rPr>
        <w:t>鉴定报告</w:t>
      </w:r>
      <w:r>
        <w:rPr>
          <w:rFonts w:hint="eastAsia" w:ascii="微软雅黑" w:hAnsi="微软雅黑" w:eastAsia="微软雅黑" w:cs="华文仿宋"/>
          <w:color w:val="000000"/>
          <w:sz w:val="24"/>
          <w:szCs w:val="24"/>
        </w:rPr>
        <w:t>。</w:t>
      </w:r>
    </w:p>
    <w:p>
      <w:pPr>
        <w:adjustRightInd w:val="0"/>
        <w:snapToGrid w:val="0"/>
        <w:jc w:val="left"/>
        <w:rPr>
          <w:rFonts w:hint="eastAsia" w:ascii="微软雅黑" w:hAnsi="微软雅黑" w:eastAsia="微软雅黑" w:cs="微软雅黑"/>
          <w:color w:val="auto"/>
          <w:sz w:val="24"/>
          <w:szCs w:val="24"/>
        </w:rPr>
      </w:pPr>
      <w:r>
        <w:rPr>
          <w:rFonts w:hint="eastAsia" w:ascii="微软雅黑" w:hAnsi="微软雅黑" w:eastAsia="微软雅黑" w:cs="华文仿宋"/>
          <w:b/>
          <w:bCs/>
          <w:color w:val="000000"/>
          <w:sz w:val="24"/>
          <w:szCs w:val="24"/>
        </w:rPr>
        <w:t>2.3标段</w:t>
      </w:r>
      <w:r>
        <w:rPr>
          <w:rFonts w:ascii="微软雅黑" w:hAnsi="微软雅黑" w:eastAsia="微软雅黑" w:cs="华文仿宋"/>
          <w:b/>
          <w:bCs/>
          <w:color w:val="000000"/>
          <w:sz w:val="24"/>
          <w:szCs w:val="24"/>
        </w:rPr>
        <w:t>划分</w:t>
      </w:r>
      <w:r>
        <w:rPr>
          <w:rFonts w:hint="eastAsia" w:ascii="微软雅黑" w:hAnsi="微软雅黑" w:eastAsia="微软雅黑" w:cs="华文仿宋"/>
          <w:b/>
          <w:bCs/>
          <w:color w:val="000000"/>
          <w:sz w:val="24"/>
          <w:szCs w:val="24"/>
        </w:rPr>
        <w:t>：</w:t>
      </w:r>
      <w:r>
        <w:rPr>
          <w:rFonts w:hint="eastAsia" w:ascii="微软雅黑" w:hAnsi="微软雅黑" w:eastAsia="微软雅黑" w:cs="华文仿宋"/>
          <w:color w:val="000000"/>
          <w:sz w:val="24"/>
          <w:szCs w:val="24"/>
        </w:rPr>
        <w:t>本项目划分为1个标段。</w:t>
      </w:r>
    </w:p>
    <w:p>
      <w:pPr>
        <w:spacing w:line="440" w:lineRule="exact"/>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b/>
          <w:bCs/>
          <w:color w:val="auto"/>
          <w:sz w:val="24"/>
          <w:szCs w:val="24"/>
          <w:highlight w:val="none"/>
        </w:rPr>
        <w:t>2.</w:t>
      </w:r>
      <w:r>
        <w:rPr>
          <w:rFonts w:hint="eastAsia" w:ascii="微软雅黑" w:hAnsi="微软雅黑" w:eastAsia="微软雅黑" w:cs="微软雅黑"/>
          <w:b/>
          <w:bCs/>
          <w:color w:val="auto"/>
          <w:sz w:val="24"/>
          <w:szCs w:val="24"/>
          <w:highlight w:val="none"/>
          <w:lang w:val="en-US" w:eastAsia="zh-CN"/>
        </w:rPr>
        <w:t>4</w:t>
      </w:r>
      <w:r>
        <w:rPr>
          <w:rFonts w:hint="eastAsia" w:ascii="微软雅黑" w:hAnsi="微软雅黑" w:eastAsia="微软雅黑" w:cs="微软雅黑"/>
          <w:b/>
          <w:bCs/>
          <w:color w:val="auto"/>
          <w:sz w:val="24"/>
          <w:szCs w:val="24"/>
          <w:highlight w:val="none"/>
        </w:rPr>
        <w:t>项目地点</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sz w:val="24"/>
          <w:highlight w:val="none"/>
          <w:lang w:val="en-US" w:eastAsia="zh-CN"/>
        </w:rPr>
        <w:t>百色百矿发电有限公司田东电厂</w:t>
      </w:r>
    </w:p>
    <w:p>
      <w:pPr>
        <w:spacing w:line="440" w:lineRule="exact"/>
        <w:rPr>
          <w:rFonts w:hint="eastAsia" w:ascii="微软雅黑" w:hAnsi="微软雅黑" w:eastAsia="微软雅黑" w:cs="微软雅黑"/>
          <w:b/>
          <w:color w:val="auto"/>
          <w:sz w:val="24"/>
          <w:szCs w:val="24"/>
        </w:rPr>
      </w:pPr>
      <w:r>
        <w:rPr>
          <w:rFonts w:hint="eastAsia" w:ascii="微软雅黑" w:hAnsi="微软雅黑" w:eastAsia="微软雅黑" w:cs="微软雅黑"/>
          <w:b/>
          <w:color w:val="auto"/>
          <w:sz w:val="24"/>
          <w:szCs w:val="24"/>
        </w:rPr>
        <w:t>3.投标人资格要求</w:t>
      </w:r>
    </w:p>
    <w:p>
      <w:pPr>
        <w:spacing w:line="440" w:lineRule="exact"/>
        <w:rPr>
          <w:rFonts w:hint="eastAsia"/>
          <w:color w:val="auto"/>
        </w:rPr>
      </w:pPr>
      <w:r>
        <w:rPr>
          <w:rFonts w:hint="eastAsia" w:ascii="微软雅黑" w:hAnsi="微软雅黑" w:eastAsia="微软雅黑" w:cs="微软雅黑"/>
          <w:bCs/>
          <w:color w:val="auto"/>
          <w:sz w:val="24"/>
          <w:szCs w:val="24"/>
        </w:rPr>
        <w:t>本次招标要求投标人具备以下资质。</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3.1</w:t>
      </w:r>
      <w:r>
        <w:rPr>
          <w:rFonts w:hint="eastAsia" w:ascii="微软雅黑" w:hAnsi="微软雅黑" w:eastAsia="微软雅黑" w:cs="微软雅黑"/>
          <w:bCs/>
          <w:sz w:val="24"/>
          <w:szCs w:val="24"/>
          <w:highlight w:val="none"/>
          <w:lang w:eastAsia="zh-CN"/>
        </w:rPr>
        <w:t>有独立法人资格和承担民事责任的能力，</w:t>
      </w:r>
      <w:r>
        <w:rPr>
          <w:rFonts w:hint="eastAsia" w:ascii="微软雅黑" w:hAnsi="微软雅黑" w:eastAsia="微软雅黑" w:cs="微软雅黑"/>
          <w:bCs/>
          <w:sz w:val="24"/>
          <w:szCs w:val="24"/>
          <w:highlight w:val="none"/>
        </w:rPr>
        <w:t>遵守中华人民共和国有关法律、法规和条</w:t>
      </w:r>
      <w:r>
        <w:rPr>
          <w:rFonts w:hint="eastAsia" w:ascii="微软雅黑" w:hAnsi="微软雅黑" w:eastAsia="微软雅黑" w:cs="微软雅黑"/>
          <w:bCs/>
          <w:sz w:val="24"/>
          <w:szCs w:val="24"/>
          <w:highlight w:val="none"/>
          <w:lang w:eastAsia="zh-CN"/>
        </w:rPr>
        <w:t>例。</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3.2</w:t>
      </w:r>
      <w:r>
        <w:rPr>
          <w:rFonts w:hint="eastAsia" w:ascii="微软雅黑" w:hAnsi="微软雅黑" w:eastAsia="微软雅黑" w:cs="微软雅黑"/>
          <w:bCs/>
          <w:sz w:val="24"/>
          <w:szCs w:val="24"/>
          <w:highlight w:val="none"/>
          <w:lang w:eastAsia="zh-CN"/>
        </w:rPr>
        <w:t>投标人须具有</w:t>
      </w:r>
      <w:r>
        <w:rPr>
          <w:rFonts w:hint="eastAsia" w:ascii="微软雅黑" w:hAnsi="微软雅黑" w:eastAsia="微软雅黑" w:cs="微软雅黑"/>
          <w:bCs/>
          <w:sz w:val="24"/>
          <w:szCs w:val="24"/>
          <w:highlight w:val="none"/>
          <w:lang w:val="en-US" w:eastAsia="zh-CN"/>
        </w:rPr>
        <w:t>省级及以上行政审批部门颁发的相应建设工程质量检测资质证书，内容包括：见证取样类检测、地基基础工程检测、主体结构工程现场检测等资质范围。</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3.3</w:t>
      </w:r>
      <w:r>
        <w:rPr>
          <w:rFonts w:hint="eastAsia" w:ascii="微软雅黑" w:hAnsi="微软雅黑" w:eastAsia="微软雅黑" w:cs="微软雅黑"/>
          <w:bCs/>
          <w:sz w:val="24"/>
          <w:szCs w:val="24"/>
          <w:highlight w:val="none"/>
          <w:lang w:eastAsia="zh-CN"/>
        </w:rPr>
        <w:t>投标人须</w:t>
      </w:r>
      <w:r>
        <w:rPr>
          <w:rFonts w:hint="eastAsia" w:ascii="微软雅黑" w:hAnsi="微软雅黑" w:eastAsia="微软雅黑" w:cs="微软雅黑"/>
          <w:bCs/>
          <w:sz w:val="24"/>
          <w:szCs w:val="24"/>
          <w:highlight w:val="none"/>
          <w:lang w:val="en-US" w:eastAsia="zh-CN"/>
        </w:rPr>
        <w:t>具备省级及以上质量技术监督部门或市场监督管理部门颁发的检验检测机构资质认定证书，资质认定的检测范围应包含：见证取样类检测、地基基础工程检测、主体结构工程现场检测等。</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3.4具有竞标规格及以上相应或相似条件下，近3年不少于1个及以上类似业绩（业绩须附列表及对应列表的合同原件扫描件。合同原件扫描件含首尾页、能反应合同主体内容、签字盖章页，否则按无效业绩处理）。</w:t>
      </w:r>
    </w:p>
    <w:p>
      <w:pPr>
        <w:spacing w:line="440" w:lineRule="exact"/>
        <w:rPr>
          <w:rFonts w:hint="eastAsia"/>
          <w:lang w:val="en-US" w:eastAsia="zh-CN"/>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5</w:t>
      </w:r>
      <w:r>
        <w:rPr>
          <w:rFonts w:hint="eastAsia" w:ascii="微软雅黑" w:hAnsi="微软雅黑" w:eastAsia="微软雅黑" w:cs="微软雅黑"/>
          <w:bCs/>
          <w:sz w:val="24"/>
          <w:szCs w:val="24"/>
          <w:highlight w:val="none"/>
        </w:rPr>
        <w:t>近年来有较好业绩且无不良商业行为。</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3.6</w:t>
      </w:r>
      <w:r>
        <w:rPr>
          <w:rFonts w:hint="eastAsia" w:ascii="微软雅黑" w:hAnsi="微软雅黑" w:eastAsia="微软雅黑" w:cs="微软雅黑"/>
          <w:bCs/>
          <w:sz w:val="24"/>
          <w:szCs w:val="24"/>
          <w:highlight w:val="none"/>
          <w:lang w:eastAsia="zh-CN"/>
        </w:rPr>
        <w:t>具有良好的商业信誉和健全的财务会计制度，提供近三年的财务会计报告。</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val="en-US" w:eastAsia="zh-CN"/>
        </w:rPr>
        <w:t>3.7</w:t>
      </w:r>
      <w:r>
        <w:rPr>
          <w:rFonts w:hint="eastAsia" w:ascii="微软雅黑" w:hAnsi="微软雅黑" w:eastAsia="微软雅黑" w:cs="微软雅黑"/>
          <w:bCs/>
          <w:sz w:val="24"/>
          <w:szCs w:val="24"/>
          <w:highlight w:val="none"/>
          <w:lang w:eastAsia="zh-CN"/>
        </w:rPr>
        <w:t>本次招标不接受联合体投标。</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3.8本次招标不接受分包/转包。</w:t>
      </w:r>
    </w:p>
    <w:p>
      <w:pPr>
        <w:rPr>
          <w:rFonts w:hint="eastAsia" w:ascii="微软雅黑" w:hAnsi="微软雅黑" w:eastAsia="微软雅黑" w:cs="微软雅黑"/>
          <w:b/>
          <w:bCs/>
          <w:color w:val="auto"/>
          <w:sz w:val="24"/>
          <w:szCs w:val="24"/>
          <w:highlight w:val="none"/>
        </w:rPr>
      </w:pPr>
      <w:r>
        <w:rPr>
          <w:rFonts w:hint="eastAsia" w:ascii="微软雅黑" w:hAnsi="微软雅黑" w:eastAsia="微软雅黑"/>
          <w:b/>
          <w:sz w:val="24"/>
          <w:szCs w:val="24"/>
        </w:rPr>
        <w:t>4.投标报名</w:t>
      </w:r>
    </w:p>
    <w:p>
      <w:pPr>
        <w:spacing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4.1报名方式</w:t>
      </w:r>
    </w:p>
    <w:p>
      <w:pPr>
        <w:spacing w:line="4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4.1.1 *凡有意参加报名的投标人，请至吉利控股集团招标采购平台</w:t>
      </w:r>
      <w:r>
        <w:rPr>
          <w:rStyle w:val="11"/>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sz w:val="24"/>
          <w:szCs w:val="24"/>
          <w:highlight w:val="none"/>
          <w:lang w:val="en-US" w:eastAsia="zh-CN"/>
        </w:rPr>
        <w:t>gl</w:t>
      </w:r>
      <w:r>
        <w:rPr>
          <w:rFonts w:hint="eastAsia" w:ascii="微软雅黑" w:hAnsi="微软雅黑" w:eastAsia="微软雅黑" w:cs="微软雅黑"/>
          <w:bCs/>
          <w:color w:val="auto"/>
          <w:sz w:val="24"/>
          <w:szCs w:val="24"/>
          <w:highlight w:val="none"/>
        </w:rPr>
        <w:t>zb.geely.com</w:t>
      </w:r>
      <w:r>
        <w:rPr>
          <w:rStyle w:val="11"/>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sz w:val="24"/>
          <w:szCs w:val="24"/>
          <w:highlight w:val="none"/>
        </w:rPr>
        <w:t>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报名的，视作无效报名。</w:t>
      </w:r>
    </w:p>
    <w:p>
      <w:pPr>
        <w:spacing w:line="4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4.1.2 *报名截止时间：</w:t>
      </w:r>
      <w:r>
        <w:rPr>
          <w:rFonts w:hint="eastAsia" w:ascii="微软雅黑" w:hAnsi="微软雅黑" w:eastAsia="微软雅黑" w:cs="微软雅黑"/>
          <w:b/>
          <w:bCs w:val="0"/>
          <w:color w:val="auto"/>
          <w:sz w:val="24"/>
          <w:szCs w:val="24"/>
          <w:highlight w:val="none"/>
          <w:lang w:eastAsia="zh-CN"/>
        </w:rPr>
        <w:t>2022年</w:t>
      </w:r>
      <w:r>
        <w:rPr>
          <w:rFonts w:hint="eastAsia" w:ascii="微软雅黑" w:hAnsi="微软雅黑" w:eastAsia="微软雅黑" w:cs="微软雅黑"/>
          <w:b/>
          <w:bCs w:val="0"/>
          <w:color w:val="auto"/>
          <w:sz w:val="24"/>
          <w:szCs w:val="24"/>
          <w:highlight w:val="none"/>
          <w:lang w:val="en-US" w:eastAsia="zh-CN"/>
        </w:rPr>
        <w:t>11</w:t>
      </w:r>
      <w:r>
        <w:rPr>
          <w:rFonts w:hint="eastAsia" w:ascii="微软雅黑" w:hAnsi="微软雅黑" w:eastAsia="微软雅黑" w:cs="微软雅黑"/>
          <w:b/>
          <w:bCs w:val="0"/>
          <w:color w:val="auto"/>
          <w:sz w:val="24"/>
          <w:szCs w:val="24"/>
          <w:highlight w:val="none"/>
        </w:rPr>
        <w:t>月</w:t>
      </w:r>
      <w:r>
        <w:rPr>
          <w:rFonts w:hint="eastAsia" w:ascii="微软雅黑" w:hAnsi="微软雅黑" w:eastAsia="微软雅黑" w:cs="微软雅黑"/>
          <w:b/>
          <w:bCs w:val="0"/>
          <w:color w:val="auto"/>
          <w:sz w:val="24"/>
          <w:szCs w:val="24"/>
          <w:highlight w:val="none"/>
          <w:lang w:val="en-US" w:eastAsia="zh-CN"/>
        </w:rPr>
        <w:t>10</w:t>
      </w:r>
      <w:r>
        <w:rPr>
          <w:rFonts w:hint="eastAsia" w:ascii="微软雅黑" w:hAnsi="微软雅黑" w:eastAsia="微软雅黑" w:cs="微软雅黑"/>
          <w:b/>
          <w:bCs w:val="0"/>
          <w:color w:val="auto"/>
          <w:sz w:val="24"/>
          <w:szCs w:val="24"/>
          <w:highlight w:val="none"/>
        </w:rPr>
        <w:t>日（未在招标采购平台上注册过的供应商，因注册后需要审核，请至少提前一天进行注册）。</w:t>
      </w:r>
    </w:p>
    <w:p>
      <w:pPr>
        <w:spacing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4.2报名资料</w:t>
      </w:r>
    </w:p>
    <w:p>
      <w:pPr>
        <w:spacing w:line="440" w:lineRule="exac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报名资料于报名截止时间前上传至吉利控股集团招标采购平台，报名资料包含但不限于以下内容：</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三证合一的营业执照副本</w:t>
      </w:r>
      <w:r>
        <w:rPr>
          <w:rFonts w:hint="eastAsia" w:ascii="微软雅黑" w:hAnsi="微软雅黑" w:eastAsia="微软雅黑" w:cs="微软雅黑"/>
          <w:bCs/>
          <w:sz w:val="24"/>
          <w:szCs w:val="24"/>
          <w:highlight w:val="none"/>
          <w:lang w:eastAsia="zh-CN"/>
        </w:rPr>
        <w:t>；</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省级及以上行政审批部门颁发的相应建设工程质量检测资质证书；</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lang w:val="en-US" w:eastAsia="zh-CN"/>
        </w:rPr>
        <w:t>省级及以上质量技术监督部门或市场监督管理部门颁发的检验检测机构资质认定证书；</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类似项目业绩证明及证明材料（提供合同扫描件，涉及机密部分可隐去）；</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企业概况及履约能力说明；</w:t>
      </w:r>
    </w:p>
    <w:p>
      <w:pPr>
        <w:numPr>
          <w:ilvl w:val="0"/>
          <w:numId w:val="2"/>
        </w:numPr>
        <w:spacing w:line="440" w:lineRule="exact"/>
        <w:ind w:left="425" w:leftChars="0" w:hanging="425" w:firstLineChars="0"/>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近三年的财务报表资料</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4.3提交材料要求</w:t>
      </w:r>
    </w:p>
    <w:p>
      <w:pPr>
        <w:spacing w:line="440" w:lineRule="exact"/>
        <w:ind w:firstLine="0" w:firstLineChars="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a、合同请扫描成一份PDF文件，严禁将合同分成一张张图片上传；</w:t>
      </w:r>
    </w:p>
    <w:p>
      <w:pPr>
        <w:spacing w:line="440" w:lineRule="exact"/>
        <w:ind w:firstLine="0" w:firstLineChars="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b、请提供合同原件扫描件、合同扫描件需体现合作对象、合作时间、服务内容等信息（价格部分可隐藏）；</w:t>
      </w:r>
    </w:p>
    <w:p>
      <w:pPr>
        <w:spacing w:line="440" w:lineRule="exact"/>
        <w:ind w:firstLine="0" w:firstLineChars="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c、合同扫描件请命名：XXXX公司+与XXXX公司合作合同</w:t>
      </w:r>
      <w:r>
        <w:rPr>
          <w:rFonts w:hint="eastAsia" w:ascii="微软雅黑" w:hAnsi="微软雅黑" w:eastAsia="微软雅黑" w:cs="微软雅黑"/>
          <w:bCs/>
          <w:color w:val="auto"/>
          <w:sz w:val="24"/>
          <w:szCs w:val="24"/>
          <w:highlight w:val="none"/>
          <w:lang w:eastAsia="zh-CN"/>
        </w:rPr>
        <w:t>（合同内容：</w:t>
      </w:r>
      <w:r>
        <w:rPr>
          <w:rFonts w:hint="eastAsia" w:ascii="微软雅黑" w:hAnsi="微软雅黑" w:eastAsia="微软雅黑" w:cs="微软雅黑"/>
          <w:bCs/>
          <w:color w:val="auto"/>
          <w:sz w:val="24"/>
          <w:szCs w:val="24"/>
          <w:highlight w:val="none"/>
          <w:lang w:val="en-US" w:eastAsia="zh-CN"/>
        </w:rPr>
        <w:t>XXX</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，如：</w:t>
      </w:r>
      <w:r>
        <w:rPr>
          <w:rFonts w:hint="eastAsia" w:ascii="微软雅黑" w:hAnsi="微软雅黑" w:eastAsia="微软雅黑" w:cs="微软雅黑"/>
          <w:bCs/>
          <w:color w:val="auto"/>
          <w:sz w:val="24"/>
          <w:szCs w:val="24"/>
          <w:highlight w:val="none"/>
          <w:lang w:eastAsia="zh-CN"/>
        </w:rPr>
        <w:t>百色百矿发电有限公司</w:t>
      </w:r>
      <w:r>
        <w:rPr>
          <w:rFonts w:hint="eastAsia" w:ascii="微软雅黑" w:hAnsi="微软雅黑" w:eastAsia="微软雅黑" w:cs="微软雅黑"/>
          <w:bCs/>
          <w:color w:val="auto"/>
          <w:sz w:val="24"/>
          <w:szCs w:val="24"/>
          <w:highlight w:val="none"/>
        </w:rPr>
        <w:t>+与</w:t>
      </w:r>
      <w:r>
        <w:rPr>
          <w:rFonts w:hint="eastAsia" w:ascii="微软雅黑" w:hAnsi="微软雅黑" w:eastAsia="微软雅黑" w:cs="微软雅黑"/>
          <w:bCs/>
          <w:color w:val="auto"/>
          <w:sz w:val="24"/>
          <w:szCs w:val="24"/>
          <w:highlight w:val="none"/>
          <w:lang w:eastAsia="zh-CN"/>
        </w:rPr>
        <w:t>广西百色银海发电有限</w:t>
      </w:r>
      <w:r>
        <w:rPr>
          <w:rFonts w:hint="eastAsia" w:ascii="微软雅黑" w:hAnsi="微软雅黑" w:eastAsia="微软雅黑" w:cs="微软雅黑"/>
          <w:bCs/>
          <w:color w:val="auto"/>
          <w:sz w:val="24"/>
          <w:szCs w:val="24"/>
          <w:highlight w:val="none"/>
        </w:rPr>
        <w:t>公司合作合同</w:t>
      </w:r>
      <w:r>
        <w:rPr>
          <w:rFonts w:hint="eastAsia" w:ascii="微软雅黑" w:hAnsi="微软雅黑" w:eastAsia="微软雅黑" w:cs="微软雅黑"/>
          <w:bCs/>
          <w:color w:val="auto"/>
          <w:sz w:val="24"/>
          <w:szCs w:val="24"/>
          <w:highlight w:val="none"/>
          <w:lang w:eastAsia="zh-CN"/>
        </w:rPr>
        <w:t>（合同内容：</w:t>
      </w:r>
      <w:r>
        <w:rPr>
          <w:rFonts w:hint="eastAsia" w:ascii="微软雅黑" w:hAnsi="微软雅黑" w:eastAsia="微软雅黑" w:cs="微软雅黑"/>
          <w:bCs/>
          <w:color w:val="auto"/>
          <w:sz w:val="24"/>
          <w:szCs w:val="24"/>
          <w:highlight w:val="none"/>
          <w:lang w:val="en-US" w:eastAsia="zh-CN"/>
        </w:rPr>
        <w:t>XXX</w:t>
      </w:r>
      <w:r>
        <w:rPr>
          <w:rFonts w:hint="eastAsia" w:ascii="微软雅黑" w:hAnsi="微软雅黑" w:eastAsia="微软雅黑" w:cs="微软雅黑"/>
          <w:bCs/>
          <w:color w:val="auto"/>
          <w:sz w:val="24"/>
          <w:szCs w:val="24"/>
          <w:highlight w:val="none"/>
          <w:lang w:eastAsia="zh-CN"/>
        </w:rPr>
        <w:t>）</w:t>
      </w:r>
      <w:r>
        <w:rPr>
          <w:rFonts w:hint="eastAsia" w:ascii="微软雅黑" w:hAnsi="微软雅黑" w:eastAsia="微软雅黑" w:cs="微软雅黑"/>
          <w:bCs/>
          <w:color w:val="auto"/>
          <w:sz w:val="24"/>
          <w:szCs w:val="24"/>
          <w:highlight w:val="none"/>
        </w:rPr>
        <w:t>；</w:t>
      </w:r>
    </w:p>
    <w:p>
      <w:pPr>
        <w:spacing w:line="440" w:lineRule="exact"/>
        <w:rPr>
          <w:rFonts w:hint="eastAsia" w:ascii="微软雅黑" w:hAnsi="微软雅黑" w:eastAsia="微软雅黑" w:cs="微软雅黑"/>
          <w:color w:val="auto"/>
          <w:highlight w:val="none"/>
        </w:rPr>
      </w:pPr>
      <w:r>
        <w:rPr>
          <w:rFonts w:hint="eastAsia" w:ascii="微软雅黑" w:hAnsi="微软雅黑" w:eastAsia="微软雅黑" w:cs="微软雅黑"/>
          <w:bCs/>
          <w:color w:val="auto"/>
          <w:sz w:val="24"/>
          <w:szCs w:val="24"/>
          <w:highlight w:val="none"/>
        </w:rPr>
        <w:t>备注：请供应商务必按照要求提交业绩材料，如因供应商提交的材料不符合要求而造成供应商被淘汰，招标方不承担任何责任。以上资料</w:t>
      </w:r>
      <w:r>
        <w:rPr>
          <w:rFonts w:hint="eastAsia" w:ascii="微软雅黑" w:hAnsi="微软雅黑" w:eastAsia="微软雅黑" w:cs="微软雅黑"/>
          <w:b/>
          <w:bCs/>
          <w:color w:val="auto"/>
          <w:sz w:val="24"/>
          <w:szCs w:val="24"/>
          <w:highlight w:val="none"/>
        </w:rPr>
        <w:t>扫描命名打包，</w:t>
      </w:r>
      <w:r>
        <w:rPr>
          <w:rFonts w:hint="eastAsia" w:ascii="微软雅黑" w:hAnsi="微软雅黑" w:eastAsia="微软雅黑" w:cs="微软雅黑"/>
          <w:bCs/>
          <w:color w:val="auto"/>
          <w:sz w:val="24"/>
          <w:szCs w:val="24"/>
          <w:highlight w:val="none"/>
        </w:rPr>
        <w:t>报名资料需在报名截止时间前上传，逾期报名无效。</w:t>
      </w:r>
    </w:p>
    <w:p>
      <w:p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5.招标文件的获取</w:t>
      </w:r>
    </w:p>
    <w:p>
      <w:pPr>
        <w:spacing w:line="4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5.1报名截止后，对所有报名单位进行资格初审，初审合格后购买招标文件；</w:t>
      </w:r>
    </w:p>
    <w:p>
      <w:pPr>
        <w:spacing w:line="440" w:lineRule="exact"/>
        <w:ind w:firstLine="480" w:firstLineChars="200"/>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5.2招标文件每套售价</w:t>
      </w:r>
      <w:r>
        <w:rPr>
          <w:rFonts w:hint="eastAsia" w:ascii="微软雅黑" w:hAnsi="微软雅黑" w:eastAsia="微软雅黑" w:cs="微软雅黑"/>
          <w:bCs/>
          <w:color w:val="auto"/>
          <w:sz w:val="24"/>
          <w:szCs w:val="24"/>
          <w:highlight w:val="none"/>
          <w:u w:val="single"/>
          <w:lang w:val="en-US" w:eastAsia="zh-CN"/>
        </w:rPr>
        <w:t>100</w:t>
      </w:r>
      <w:r>
        <w:rPr>
          <w:rFonts w:hint="eastAsia" w:ascii="微软雅黑" w:hAnsi="微软雅黑" w:eastAsia="微软雅黑" w:cs="微软雅黑"/>
          <w:bCs/>
          <w:color w:val="auto"/>
          <w:sz w:val="24"/>
          <w:szCs w:val="24"/>
          <w:highlight w:val="none"/>
        </w:rPr>
        <w:t>元，售后不退</w:t>
      </w:r>
      <w:r>
        <w:rPr>
          <w:rFonts w:hint="eastAsia" w:ascii="微软雅黑" w:hAnsi="微软雅黑" w:eastAsia="微软雅黑" w:cs="微软雅黑"/>
          <w:bCs/>
          <w:color w:val="auto"/>
          <w:sz w:val="24"/>
          <w:szCs w:val="24"/>
          <w:highlight w:val="none"/>
          <w:lang w:eastAsia="zh-CN"/>
        </w:rPr>
        <w:t>。</w:t>
      </w:r>
    </w:p>
    <w:p>
      <w:p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6.发布公告的媒介</w:t>
      </w:r>
    </w:p>
    <w:p>
      <w:pPr>
        <w:spacing w:line="440" w:lineRule="exact"/>
        <w:ind w:firstLine="480" w:firstLineChars="200"/>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本次招标公告只在吉利控股集团招标采购平台</w:t>
      </w:r>
      <w:r>
        <w:rPr>
          <w:rFonts w:hint="eastAsia" w:ascii="微软雅黑" w:hAnsi="微软雅黑" w:eastAsia="微软雅黑" w:cs="微软雅黑"/>
          <w:bCs/>
          <w:color w:val="auto"/>
          <w:sz w:val="24"/>
          <w:szCs w:val="24"/>
          <w:highlight w:val="none"/>
          <w:lang w:val="en-US" w:eastAsia="zh-CN"/>
        </w:rPr>
        <w:t>gl</w:t>
      </w:r>
      <w:r>
        <w:rPr>
          <w:rFonts w:hint="eastAsia" w:ascii="微软雅黑" w:hAnsi="微软雅黑" w:eastAsia="微软雅黑" w:cs="微软雅黑"/>
          <w:bCs/>
          <w:color w:val="auto"/>
          <w:sz w:val="24"/>
          <w:szCs w:val="24"/>
          <w:highlight w:val="none"/>
        </w:rPr>
        <w:t>zb.geely.com上发布，其他媒体转载无效。</w:t>
      </w:r>
    </w:p>
    <w:p>
      <w:p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7.联系方式</w:t>
      </w:r>
    </w:p>
    <w:p>
      <w:pPr>
        <w:spacing w:line="440" w:lineRule="exact"/>
        <w:ind w:firstLine="480" w:firstLineChars="200"/>
        <w:jc w:val="left"/>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招标人：</w:t>
      </w:r>
      <w:r>
        <w:rPr>
          <w:rFonts w:hint="eastAsia" w:ascii="微软雅黑" w:hAnsi="微软雅黑" w:eastAsia="微软雅黑" w:cs="微软雅黑"/>
          <w:bCs/>
          <w:color w:val="auto"/>
          <w:sz w:val="24"/>
          <w:szCs w:val="24"/>
          <w:highlight w:val="none"/>
          <w:lang w:eastAsia="zh-CN"/>
        </w:rPr>
        <w:t>百色百矿发电有限公司田东电厂</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eastAsia="zh-CN"/>
        </w:rPr>
        <w:t>招标组织单位</w:t>
      </w:r>
      <w:r>
        <w:rPr>
          <w:rFonts w:hint="eastAsia" w:ascii="微软雅黑" w:hAnsi="微软雅黑" w:eastAsia="微软雅黑" w:cs="微软雅黑"/>
          <w:bCs/>
          <w:color w:val="auto"/>
          <w:sz w:val="24"/>
          <w:szCs w:val="24"/>
          <w:highlight w:val="none"/>
        </w:rPr>
        <w:t>地址：广西田东县祥周镇新洲村</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开标地址：</w:t>
      </w:r>
      <w:r>
        <w:rPr>
          <w:rFonts w:hint="eastAsia" w:ascii="微软雅黑" w:hAnsi="微软雅黑" w:eastAsia="微软雅黑" w:cs="微软雅黑"/>
          <w:bCs/>
          <w:color w:val="auto"/>
          <w:sz w:val="24"/>
          <w:szCs w:val="24"/>
          <w:highlight w:val="none"/>
          <w:lang w:val="en-US" w:eastAsia="zh-CN"/>
        </w:rPr>
        <w:t>广西</w:t>
      </w:r>
      <w:r>
        <w:rPr>
          <w:rFonts w:hint="eastAsia" w:ascii="微软雅黑" w:hAnsi="微软雅黑" w:eastAsia="微软雅黑" w:cs="微软雅黑"/>
          <w:bCs/>
          <w:color w:val="auto"/>
          <w:sz w:val="24"/>
          <w:szCs w:val="24"/>
          <w:highlight w:val="none"/>
        </w:rPr>
        <w:t>百色市</w:t>
      </w:r>
      <w:r>
        <w:rPr>
          <w:rFonts w:hint="eastAsia" w:ascii="微软雅黑" w:hAnsi="微软雅黑" w:eastAsia="微软雅黑" w:cs="微软雅黑"/>
          <w:bCs/>
          <w:color w:val="auto"/>
          <w:sz w:val="24"/>
          <w:szCs w:val="24"/>
          <w:highlight w:val="none"/>
          <w:lang w:val="en-US" w:eastAsia="zh-CN"/>
        </w:rPr>
        <w:t>田阳区头塘镇百色百矿发电有限公司</w:t>
      </w:r>
      <w:r>
        <w:rPr>
          <w:rFonts w:hint="eastAsia" w:ascii="微软雅黑" w:hAnsi="微软雅黑" w:eastAsia="微软雅黑" w:cs="微软雅黑"/>
          <w:bCs/>
          <w:color w:val="auto"/>
          <w:sz w:val="24"/>
          <w:szCs w:val="24"/>
          <w:highlight w:val="none"/>
        </w:rPr>
        <w:t>电力业务部第一会议室</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邮编：533615</w:t>
      </w:r>
    </w:p>
    <w:p>
      <w:pPr>
        <w:spacing w:line="440" w:lineRule="exact"/>
        <w:ind w:firstLine="480" w:firstLineChars="200"/>
        <w:jc w:val="left"/>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lang w:eastAsia="zh-CN"/>
        </w:rPr>
        <w:t>商务：</w:t>
      </w:r>
      <w:r>
        <w:rPr>
          <w:rFonts w:hint="eastAsia" w:ascii="微软雅黑" w:hAnsi="微软雅黑" w:eastAsia="微软雅黑" w:cs="微软雅黑"/>
          <w:bCs/>
          <w:sz w:val="24"/>
          <w:szCs w:val="24"/>
          <w:highlight w:val="none"/>
          <w:lang w:val="en-US" w:eastAsia="zh-CN"/>
        </w:rPr>
        <w:t>罗貌</w:t>
      </w:r>
      <w:r>
        <w:rPr>
          <w:rFonts w:hint="eastAsia" w:ascii="微软雅黑" w:hAnsi="微软雅黑" w:eastAsia="微软雅黑" w:cs="微软雅黑"/>
          <w:bCs/>
          <w:sz w:val="24"/>
          <w:szCs w:val="24"/>
          <w:highlight w:val="none"/>
          <w:lang w:eastAsia="zh-CN"/>
        </w:rPr>
        <w:t xml:space="preserve">  手机号 13978027196</w:t>
      </w:r>
      <w:r>
        <w:rPr>
          <w:rFonts w:hint="eastAsia" w:ascii="微软雅黑" w:hAnsi="微软雅黑" w:eastAsia="微软雅黑" w:cs="微软雅黑"/>
          <w:bCs/>
          <w:sz w:val="24"/>
          <w:szCs w:val="24"/>
          <w:highlight w:val="none"/>
          <w:lang w:val="en-US" w:eastAsia="zh-CN"/>
        </w:rPr>
        <w:t xml:space="preserve"> </w:t>
      </w:r>
      <w:r>
        <w:rPr>
          <w:rFonts w:hint="eastAsia" w:ascii="微软雅黑" w:hAnsi="微软雅黑" w:eastAsia="微软雅黑" w:cs="微软雅黑"/>
          <w:bCs/>
          <w:sz w:val="24"/>
          <w:szCs w:val="24"/>
          <w:highlight w:val="none"/>
          <w:lang w:eastAsia="zh-CN"/>
        </w:rPr>
        <w:t> E-mail:</w:t>
      </w:r>
      <w:r>
        <w:rPr>
          <w:rFonts w:hint="eastAsia" w:ascii="微软雅黑" w:hAnsi="微软雅黑" w:eastAsia="微软雅黑" w:cs="微软雅黑"/>
          <w:bCs/>
          <w:sz w:val="24"/>
          <w:szCs w:val="24"/>
          <w:highlight w:val="none"/>
          <w:lang w:val="en-US" w:eastAsia="zh-CN"/>
        </w:rPr>
        <w:t>Mao.Luo@geely.com</w:t>
      </w:r>
    </w:p>
    <w:p>
      <w:pPr>
        <w:spacing w:line="400" w:lineRule="exact"/>
        <w:ind w:firstLine="480" w:firstLineChars="200"/>
        <w:rPr>
          <w:rFonts w:hint="eastAsia" w:ascii="微软雅黑" w:hAnsi="微软雅黑" w:eastAsia="微软雅黑" w:cs="微软雅黑"/>
          <w:bCs/>
          <w:color w:val="auto"/>
          <w:sz w:val="24"/>
          <w:szCs w:val="24"/>
        </w:rPr>
      </w:pPr>
      <w:r>
        <w:rPr>
          <w:rFonts w:hint="eastAsia" w:ascii="微软雅黑" w:hAnsi="微软雅黑" w:eastAsia="微软雅黑" w:cs="微软雅黑"/>
          <w:bCs/>
          <w:color w:val="auto"/>
          <w:sz w:val="24"/>
          <w:szCs w:val="24"/>
        </w:rPr>
        <w:t>技术：</w:t>
      </w:r>
      <w:r>
        <w:rPr>
          <w:rFonts w:hint="eastAsia" w:ascii="微软雅黑" w:hAnsi="微软雅黑" w:eastAsia="微软雅黑" w:cs="微软雅黑"/>
          <w:bCs/>
          <w:color w:val="auto"/>
          <w:sz w:val="24"/>
          <w:szCs w:val="24"/>
          <w:lang w:val="en-US" w:eastAsia="zh-CN"/>
        </w:rPr>
        <w:t xml:space="preserve">黄明聪 </w:t>
      </w:r>
      <w:r>
        <w:rPr>
          <w:rFonts w:hint="eastAsia" w:ascii="微软雅黑" w:hAnsi="微软雅黑" w:eastAsia="微软雅黑" w:cs="微软雅黑"/>
          <w:bCs/>
          <w:color w:val="auto"/>
          <w:sz w:val="24"/>
          <w:szCs w:val="24"/>
        </w:rPr>
        <w:t>手机号13977658011 E-mail:Mingcong.Huang@geely.com</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收款单位名称：</w:t>
      </w:r>
      <w:r>
        <w:rPr>
          <w:rFonts w:hint="eastAsia" w:ascii="微软雅黑" w:hAnsi="微软雅黑" w:eastAsia="微软雅黑" w:cs="微软雅黑"/>
          <w:bCs/>
          <w:sz w:val="24"/>
          <w:szCs w:val="24"/>
          <w:highlight w:val="none"/>
          <w:lang w:eastAsia="zh-CN"/>
        </w:rPr>
        <w:t>百色百矿发电有限公司田东电厂</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开户行：桂林银行股份有限公司百色分行</w:t>
      </w:r>
    </w:p>
    <w:p>
      <w:pPr>
        <w:spacing w:line="440" w:lineRule="exact"/>
        <w:ind w:firstLine="480" w:firstLineChars="200"/>
        <w:jc w:val="lef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帐号：660010089945800048</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注：无论投标结果如何，投标人自行承担所有与参加投标活动有关的全部费用。</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投诉、举报电话：0571-28098168（吉利</w:t>
      </w:r>
      <w:r>
        <w:rPr>
          <w:rFonts w:hint="eastAsia" w:ascii="微软雅黑" w:hAnsi="微软雅黑" w:eastAsia="微软雅黑" w:cs="微软雅黑"/>
          <w:bCs/>
          <w:color w:val="auto"/>
          <w:sz w:val="24"/>
          <w:szCs w:val="24"/>
          <w:highlight w:val="none"/>
          <w:lang w:val="en-US" w:eastAsia="zh-CN"/>
        </w:rPr>
        <w:t>科技工程与商务发展部</w:t>
      </w:r>
      <w:r>
        <w:rPr>
          <w:rFonts w:hint="eastAsia" w:ascii="微软雅黑" w:hAnsi="微软雅黑" w:eastAsia="微软雅黑" w:cs="微软雅黑"/>
          <w:bCs/>
          <w:color w:val="auto"/>
          <w:sz w:val="24"/>
          <w:szCs w:val="24"/>
          <w:highlight w:val="none"/>
        </w:rPr>
        <w:t>）</w:t>
      </w:r>
    </w:p>
    <w:p>
      <w:pPr>
        <w:spacing w:line="440" w:lineRule="exact"/>
        <w:ind w:firstLine="480" w:firstLineChars="200"/>
        <w:jc w:val="left"/>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举报邮箱：geelytech.bid@geely.com</w:t>
      </w:r>
    </w:p>
    <w:p>
      <w:pPr>
        <w:spacing w:line="440" w:lineRule="exact"/>
        <w:ind w:firstLine="480" w:firstLineChars="200"/>
        <w:jc w:val="right"/>
        <w:rPr>
          <w:rFonts w:hint="eastAsia" w:ascii="微软雅黑" w:hAnsi="微软雅黑" w:eastAsia="微软雅黑" w:cs="微软雅黑"/>
          <w:bCs/>
          <w:color w:val="auto"/>
          <w:sz w:val="24"/>
          <w:szCs w:val="24"/>
          <w:highlight w:val="none"/>
          <w:lang w:eastAsia="zh-CN"/>
        </w:rPr>
      </w:pPr>
      <w:r>
        <w:rPr>
          <w:rFonts w:hint="eastAsia" w:ascii="微软雅黑" w:hAnsi="微软雅黑" w:eastAsia="微软雅黑" w:cs="微软雅黑"/>
          <w:bCs/>
          <w:color w:val="auto"/>
          <w:sz w:val="24"/>
          <w:szCs w:val="24"/>
          <w:highlight w:val="none"/>
        </w:rPr>
        <w:t>招标人：</w:t>
      </w:r>
      <w:r>
        <w:rPr>
          <w:rFonts w:hint="eastAsia" w:ascii="微软雅黑" w:hAnsi="微软雅黑" w:eastAsia="微软雅黑" w:cs="微软雅黑"/>
          <w:bCs/>
          <w:color w:val="auto"/>
          <w:sz w:val="24"/>
          <w:szCs w:val="24"/>
          <w:highlight w:val="none"/>
          <w:lang w:eastAsia="zh-CN"/>
        </w:rPr>
        <w:t>百色百矿发电有限公司田东电厂</w:t>
      </w:r>
    </w:p>
    <w:p>
      <w:pPr>
        <w:spacing w:line="440" w:lineRule="exact"/>
        <w:ind w:firstLine="480" w:firstLineChars="200"/>
        <w:jc w:val="right"/>
        <w:rPr>
          <w:rFonts w:hint="eastAsia" w:ascii="微软雅黑" w:hAnsi="微软雅黑" w:eastAsia="微软雅黑" w:cs="微软雅黑"/>
          <w:color w:val="auto"/>
          <w:highlight w:val="none"/>
          <w:lang w:eastAsia="zh-CN"/>
        </w:rPr>
      </w:pPr>
      <w:r>
        <w:rPr>
          <w:rFonts w:hint="eastAsia" w:ascii="微软雅黑" w:hAnsi="微软雅黑" w:eastAsia="微软雅黑" w:cs="微软雅黑"/>
          <w:bCs/>
          <w:color w:val="auto"/>
          <w:sz w:val="24"/>
          <w:szCs w:val="24"/>
          <w:highlight w:val="none"/>
        </w:rPr>
        <w:t>日期：</w:t>
      </w:r>
      <w:r>
        <w:rPr>
          <w:rFonts w:hint="eastAsia" w:ascii="微软雅黑" w:hAnsi="微软雅黑" w:eastAsia="微软雅黑" w:cs="微软雅黑"/>
          <w:bCs/>
          <w:color w:val="auto"/>
          <w:sz w:val="24"/>
          <w:szCs w:val="24"/>
          <w:highlight w:val="none"/>
          <w:lang w:eastAsia="zh-CN"/>
        </w:rPr>
        <w:t>2022年</w:t>
      </w:r>
      <w:r>
        <w:rPr>
          <w:rFonts w:hint="eastAsia" w:ascii="微软雅黑" w:hAnsi="微软雅黑" w:eastAsia="微软雅黑" w:cs="微软雅黑"/>
          <w:bCs/>
          <w:color w:val="auto"/>
          <w:sz w:val="24"/>
          <w:szCs w:val="24"/>
          <w:highlight w:val="none"/>
          <w:lang w:val="en-US" w:eastAsia="zh-CN"/>
        </w:rPr>
        <w:t>11</w:t>
      </w:r>
      <w:r>
        <w:rPr>
          <w:rFonts w:hint="eastAsia" w:ascii="微软雅黑" w:hAnsi="微软雅黑" w:eastAsia="微软雅黑" w:cs="微软雅黑"/>
          <w:bCs/>
          <w:color w:val="auto"/>
          <w:sz w:val="24"/>
          <w:szCs w:val="24"/>
          <w:highlight w:val="none"/>
        </w:rPr>
        <w:t>月</w:t>
      </w:r>
      <w:r>
        <w:rPr>
          <w:rFonts w:hint="eastAsia" w:ascii="微软雅黑" w:hAnsi="微软雅黑" w:eastAsia="微软雅黑" w:cs="微软雅黑"/>
          <w:bCs/>
          <w:color w:val="auto"/>
          <w:sz w:val="24"/>
          <w:szCs w:val="24"/>
          <w:highlight w:val="none"/>
          <w:lang w:val="en-US" w:eastAsia="zh-CN"/>
        </w:rPr>
        <w:t>8</w:t>
      </w:r>
      <w:r>
        <w:rPr>
          <w:rFonts w:hint="eastAsia" w:ascii="微软雅黑" w:hAnsi="微软雅黑" w:eastAsia="微软雅黑" w:cs="微软雅黑"/>
          <w:bCs/>
          <w:color w:val="auto"/>
          <w:sz w:val="24"/>
          <w:szCs w:val="24"/>
          <w:highlight w:val="none"/>
        </w:rPr>
        <w:t>日</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2E76B"/>
    <w:multiLevelType w:val="singleLevel"/>
    <w:tmpl w:val="9182E76B"/>
    <w:lvl w:ilvl="0" w:tentative="0">
      <w:start w:val="1"/>
      <w:numFmt w:val="lowerLetter"/>
      <w:lvlText w:val="%1."/>
      <w:lvlJc w:val="left"/>
      <w:pPr>
        <w:ind w:left="425" w:hanging="425"/>
      </w:pPr>
      <w:rPr>
        <w:rFonts w:hint="default"/>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YmUwYTEzY2RhNzgzZTZmMGQ5OTNjNGEyNDY0NzcifQ=="/>
  </w:docVars>
  <w:rsids>
    <w:rsidRoot w:val="00172A27"/>
    <w:rsid w:val="001D7D8F"/>
    <w:rsid w:val="0176292B"/>
    <w:rsid w:val="024D2111"/>
    <w:rsid w:val="02B046A6"/>
    <w:rsid w:val="02B510FA"/>
    <w:rsid w:val="02FB4A5D"/>
    <w:rsid w:val="03004097"/>
    <w:rsid w:val="03322095"/>
    <w:rsid w:val="03CF73B2"/>
    <w:rsid w:val="047B2B1B"/>
    <w:rsid w:val="04B97278"/>
    <w:rsid w:val="06997254"/>
    <w:rsid w:val="07116E86"/>
    <w:rsid w:val="08066011"/>
    <w:rsid w:val="0B1D3D7C"/>
    <w:rsid w:val="0B4917C4"/>
    <w:rsid w:val="0D105AB0"/>
    <w:rsid w:val="0E767028"/>
    <w:rsid w:val="0F8677A4"/>
    <w:rsid w:val="106E0D20"/>
    <w:rsid w:val="10C233A9"/>
    <w:rsid w:val="10EC5B3E"/>
    <w:rsid w:val="11DA1F24"/>
    <w:rsid w:val="11E44815"/>
    <w:rsid w:val="12165383"/>
    <w:rsid w:val="125F03EB"/>
    <w:rsid w:val="13574F3A"/>
    <w:rsid w:val="138E06B8"/>
    <w:rsid w:val="13FA3F51"/>
    <w:rsid w:val="143A44EA"/>
    <w:rsid w:val="146C382B"/>
    <w:rsid w:val="147F47AD"/>
    <w:rsid w:val="14EA231D"/>
    <w:rsid w:val="15866F89"/>
    <w:rsid w:val="15FA0478"/>
    <w:rsid w:val="165A52E4"/>
    <w:rsid w:val="1689600C"/>
    <w:rsid w:val="169336AF"/>
    <w:rsid w:val="169F1079"/>
    <w:rsid w:val="183B2BE1"/>
    <w:rsid w:val="18A64941"/>
    <w:rsid w:val="18B47BD7"/>
    <w:rsid w:val="199649B5"/>
    <w:rsid w:val="19B317F0"/>
    <w:rsid w:val="19EC0189"/>
    <w:rsid w:val="1AAF3709"/>
    <w:rsid w:val="1BD23F86"/>
    <w:rsid w:val="1BE6162D"/>
    <w:rsid w:val="1BFB4FA4"/>
    <w:rsid w:val="1D4D01F3"/>
    <w:rsid w:val="1DF833A9"/>
    <w:rsid w:val="1E0F4D36"/>
    <w:rsid w:val="1E2330BD"/>
    <w:rsid w:val="1E625304"/>
    <w:rsid w:val="1EE14925"/>
    <w:rsid w:val="1EF94E9C"/>
    <w:rsid w:val="1F5E6095"/>
    <w:rsid w:val="1F963B41"/>
    <w:rsid w:val="1FCF20EA"/>
    <w:rsid w:val="1FD10229"/>
    <w:rsid w:val="21667363"/>
    <w:rsid w:val="21DE79D4"/>
    <w:rsid w:val="22095287"/>
    <w:rsid w:val="221C055F"/>
    <w:rsid w:val="225A73C1"/>
    <w:rsid w:val="2281482F"/>
    <w:rsid w:val="22A13896"/>
    <w:rsid w:val="22D0336F"/>
    <w:rsid w:val="22FE5379"/>
    <w:rsid w:val="235B2DA4"/>
    <w:rsid w:val="247F5B01"/>
    <w:rsid w:val="248742A3"/>
    <w:rsid w:val="24E4067E"/>
    <w:rsid w:val="25A0388E"/>
    <w:rsid w:val="26202C93"/>
    <w:rsid w:val="26213859"/>
    <w:rsid w:val="266A026F"/>
    <w:rsid w:val="26F50A4F"/>
    <w:rsid w:val="27214CE7"/>
    <w:rsid w:val="27486A51"/>
    <w:rsid w:val="28001741"/>
    <w:rsid w:val="283C7070"/>
    <w:rsid w:val="289C1FC4"/>
    <w:rsid w:val="28E676DC"/>
    <w:rsid w:val="290D1F44"/>
    <w:rsid w:val="292F44DF"/>
    <w:rsid w:val="29952E24"/>
    <w:rsid w:val="2A487B51"/>
    <w:rsid w:val="2A562521"/>
    <w:rsid w:val="2AC31A97"/>
    <w:rsid w:val="2AFA6CE1"/>
    <w:rsid w:val="2BAE1354"/>
    <w:rsid w:val="2C9973F8"/>
    <w:rsid w:val="2DED557B"/>
    <w:rsid w:val="2E44718D"/>
    <w:rsid w:val="2E6931CA"/>
    <w:rsid w:val="309B7A48"/>
    <w:rsid w:val="30F6566A"/>
    <w:rsid w:val="311371EE"/>
    <w:rsid w:val="31972AA8"/>
    <w:rsid w:val="319D1733"/>
    <w:rsid w:val="31A82723"/>
    <w:rsid w:val="32DD7D9A"/>
    <w:rsid w:val="32E21E22"/>
    <w:rsid w:val="33484942"/>
    <w:rsid w:val="33532A9E"/>
    <w:rsid w:val="33A57589"/>
    <w:rsid w:val="344C537B"/>
    <w:rsid w:val="35582A71"/>
    <w:rsid w:val="35685376"/>
    <w:rsid w:val="35872826"/>
    <w:rsid w:val="36FA581D"/>
    <w:rsid w:val="372D5FD0"/>
    <w:rsid w:val="37CB3CA7"/>
    <w:rsid w:val="383E03FD"/>
    <w:rsid w:val="38CC58A6"/>
    <w:rsid w:val="38E06631"/>
    <w:rsid w:val="3A335C4A"/>
    <w:rsid w:val="3A4E5CD0"/>
    <w:rsid w:val="3A6A02F2"/>
    <w:rsid w:val="3A6D5BAF"/>
    <w:rsid w:val="3A932306"/>
    <w:rsid w:val="3BC5272B"/>
    <w:rsid w:val="3BF23CE7"/>
    <w:rsid w:val="3C3F148C"/>
    <w:rsid w:val="3C844C04"/>
    <w:rsid w:val="3CB704EE"/>
    <w:rsid w:val="3CF7166D"/>
    <w:rsid w:val="3D37175C"/>
    <w:rsid w:val="3D4249FF"/>
    <w:rsid w:val="3D527AF5"/>
    <w:rsid w:val="3E056ED1"/>
    <w:rsid w:val="3E304603"/>
    <w:rsid w:val="3F4661DD"/>
    <w:rsid w:val="3FCC2FD1"/>
    <w:rsid w:val="3FD31C10"/>
    <w:rsid w:val="40642262"/>
    <w:rsid w:val="41764A2B"/>
    <w:rsid w:val="437A2240"/>
    <w:rsid w:val="448E7AD1"/>
    <w:rsid w:val="44B24FB5"/>
    <w:rsid w:val="44FE459A"/>
    <w:rsid w:val="46004114"/>
    <w:rsid w:val="469D2CCA"/>
    <w:rsid w:val="47285F3F"/>
    <w:rsid w:val="48102E25"/>
    <w:rsid w:val="48DB4BFB"/>
    <w:rsid w:val="49DC7913"/>
    <w:rsid w:val="4A7531D6"/>
    <w:rsid w:val="4B165404"/>
    <w:rsid w:val="4B3F6DC9"/>
    <w:rsid w:val="4B5F07FC"/>
    <w:rsid w:val="4BA23901"/>
    <w:rsid w:val="4BB226CF"/>
    <w:rsid w:val="4BC22BDA"/>
    <w:rsid w:val="4CAF749A"/>
    <w:rsid w:val="4CDF6259"/>
    <w:rsid w:val="4CFA64DF"/>
    <w:rsid w:val="4D29462F"/>
    <w:rsid w:val="4D5549D2"/>
    <w:rsid w:val="4DEA0A06"/>
    <w:rsid w:val="4E7A6C0C"/>
    <w:rsid w:val="4E920EE8"/>
    <w:rsid w:val="4EB937FB"/>
    <w:rsid w:val="4F505DEA"/>
    <w:rsid w:val="4F732300"/>
    <w:rsid w:val="4FAC4FDD"/>
    <w:rsid w:val="4FDA433C"/>
    <w:rsid w:val="4FEB1C3C"/>
    <w:rsid w:val="4FF30377"/>
    <w:rsid w:val="506F3094"/>
    <w:rsid w:val="50E1774A"/>
    <w:rsid w:val="50EB4750"/>
    <w:rsid w:val="5272689E"/>
    <w:rsid w:val="52E361B6"/>
    <w:rsid w:val="52F31746"/>
    <w:rsid w:val="541067D7"/>
    <w:rsid w:val="550448B0"/>
    <w:rsid w:val="550E2AD8"/>
    <w:rsid w:val="55496A0F"/>
    <w:rsid w:val="55F41EB4"/>
    <w:rsid w:val="577470F1"/>
    <w:rsid w:val="57ED1672"/>
    <w:rsid w:val="58FB441B"/>
    <w:rsid w:val="595461AF"/>
    <w:rsid w:val="59631FEE"/>
    <w:rsid w:val="596439B2"/>
    <w:rsid w:val="5A63421E"/>
    <w:rsid w:val="5A8A39F9"/>
    <w:rsid w:val="5ACA62B5"/>
    <w:rsid w:val="5AD45511"/>
    <w:rsid w:val="5AF04D43"/>
    <w:rsid w:val="5B44356A"/>
    <w:rsid w:val="5BB12BF2"/>
    <w:rsid w:val="5BC85F49"/>
    <w:rsid w:val="5C006A47"/>
    <w:rsid w:val="5C6C0FCA"/>
    <w:rsid w:val="5C8A4190"/>
    <w:rsid w:val="5CB87248"/>
    <w:rsid w:val="5D1F428F"/>
    <w:rsid w:val="5D484A92"/>
    <w:rsid w:val="5D963C63"/>
    <w:rsid w:val="5EF15762"/>
    <w:rsid w:val="5F624D1F"/>
    <w:rsid w:val="60681DE6"/>
    <w:rsid w:val="60AE3C5C"/>
    <w:rsid w:val="60C5514D"/>
    <w:rsid w:val="628E67D5"/>
    <w:rsid w:val="62E00120"/>
    <w:rsid w:val="6331362E"/>
    <w:rsid w:val="64B636AC"/>
    <w:rsid w:val="64E64BB9"/>
    <w:rsid w:val="65CC5CFA"/>
    <w:rsid w:val="676C0174"/>
    <w:rsid w:val="67A12167"/>
    <w:rsid w:val="690946F5"/>
    <w:rsid w:val="69366FB6"/>
    <w:rsid w:val="69407A67"/>
    <w:rsid w:val="69C42446"/>
    <w:rsid w:val="6A357B03"/>
    <w:rsid w:val="6AE02E8A"/>
    <w:rsid w:val="6C58731C"/>
    <w:rsid w:val="6D070820"/>
    <w:rsid w:val="6D3D10EF"/>
    <w:rsid w:val="6F6035D7"/>
    <w:rsid w:val="6F7C517B"/>
    <w:rsid w:val="6FAE7283"/>
    <w:rsid w:val="6FE03F3D"/>
    <w:rsid w:val="70500F6C"/>
    <w:rsid w:val="70E121F2"/>
    <w:rsid w:val="70FA6B7B"/>
    <w:rsid w:val="71B022EE"/>
    <w:rsid w:val="72184E0E"/>
    <w:rsid w:val="72184E79"/>
    <w:rsid w:val="725D51E5"/>
    <w:rsid w:val="72D509D3"/>
    <w:rsid w:val="72DC7494"/>
    <w:rsid w:val="733C43DC"/>
    <w:rsid w:val="742529DB"/>
    <w:rsid w:val="75530B22"/>
    <w:rsid w:val="75E20A21"/>
    <w:rsid w:val="75EC2C69"/>
    <w:rsid w:val="76515A45"/>
    <w:rsid w:val="76D07E61"/>
    <w:rsid w:val="76E13C50"/>
    <w:rsid w:val="76E83563"/>
    <w:rsid w:val="76F94EB0"/>
    <w:rsid w:val="77D54FB4"/>
    <w:rsid w:val="786453AD"/>
    <w:rsid w:val="79B45AB5"/>
    <w:rsid w:val="7B0C0F79"/>
    <w:rsid w:val="7D390712"/>
    <w:rsid w:val="7D4D43F3"/>
    <w:rsid w:val="7E16443C"/>
    <w:rsid w:val="7E9A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0">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qFormat/>
    <w:uiPriority w:val="0"/>
    <w:pPr>
      <w:spacing w:after="120"/>
    </w:p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Body Text First Indent 2"/>
    <w:basedOn w:val="5"/>
    <w:next w:val="1"/>
    <w:unhideWhenUsed/>
    <w:qFormat/>
    <w:uiPriority w:val="99"/>
    <w:pPr>
      <w:spacing w:after="120"/>
      <w:ind w:left="420" w:leftChars="200" w:firstLine="420" w:firstLineChars="200"/>
    </w:pPr>
    <w:rPr>
      <w:b w:val="0"/>
      <w:sz w:val="21"/>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qFormat/>
    <w:uiPriority w:val="0"/>
    <w:rPr>
      <w:color w:val="444444"/>
      <w:u w:val="none"/>
    </w:rPr>
  </w:style>
  <w:style w:type="character" w:styleId="13">
    <w:name w:val="Emphasis"/>
    <w:basedOn w:val="10"/>
    <w:qFormat/>
    <w:uiPriority w:val="0"/>
    <w:rPr>
      <w:rFonts w:hint="eastAsia" w:ascii="微软雅黑" w:hAnsi="微软雅黑" w:eastAsia="微软雅黑" w:cs="微软雅黑"/>
    </w:rPr>
  </w:style>
  <w:style w:type="character" w:styleId="14">
    <w:name w:val="Hyperlink"/>
    <w:basedOn w:val="10"/>
    <w:qFormat/>
    <w:uiPriority w:val="0"/>
    <w:rPr>
      <w:color w:val="444444"/>
      <w:u w:val="none"/>
    </w:rPr>
  </w:style>
  <w:style w:type="character" w:customStyle="1" w:styleId="16">
    <w:name w:val="enter"/>
    <w:basedOn w:val="10"/>
    <w:qFormat/>
    <w:uiPriority w:val="0"/>
  </w:style>
  <w:style w:type="character" w:customStyle="1" w:styleId="17">
    <w:name w:val="realname"/>
    <w:basedOn w:val="10"/>
    <w:qFormat/>
    <w:uiPriority w:val="0"/>
  </w:style>
  <w:style w:type="character" w:customStyle="1" w:styleId="18">
    <w:name w:val="realname1"/>
    <w:basedOn w:val="10"/>
    <w:qFormat/>
    <w:uiPriority w:val="0"/>
  </w:style>
  <w:style w:type="character" w:customStyle="1" w:styleId="19">
    <w:name w:val="bwvip"/>
    <w:basedOn w:val="10"/>
    <w:qFormat/>
    <w:uiPriority w:val="0"/>
  </w:style>
  <w:style w:type="character" w:customStyle="1" w:styleId="20">
    <w:name w:val="vip"/>
    <w:basedOn w:val="10"/>
    <w:qFormat/>
    <w:uiPriority w:val="0"/>
  </w:style>
  <w:style w:type="character" w:customStyle="1" w:styleId="21">
    <w:name w:val="book"/>
    <w:basedOn w:val="10"/>
    <w:qFormat/>
    <w:uiPriority w:val="0"/>
  </w:style>
  <w:style w:type="character" w:customStyle="1" w:styleId="22">
    <w:name w:val="enter1"/>
    <w:basedOn w:val="10"/>
    <w:qFormat/>
    <w:uiPriority w:val="0"/>
  </w:style>
  <w:style w:type="paragraph" w:customStyle="1" w:styleId="23">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4">
    <w:name w:val="font31"/>
    <w:basedOn w:val="10"/>
    <w:qFormat/>
    <w:uiPriority w:val="0"/>
    <w:rPr>
      <w:rFonts w:hint="default" w:ascii="等线" w:hAnsi="等线" w:eastAsia="等线" w:cs="等线"/>
      <w:color w:val="000000"/>
      <w:sz w:val="24"/>
      <w:szCs w:val="24"/>
      <w:u w:val="none"/>
    </w:rPr>
  </w:style>
  <w:style w:type="character" w:customStyle="1" w:styleId="25">
    <w:name w:val="font61"/>
    <w:basedOn w:val="10"/>
    <w:qFormat/>
    <w:uiPriority w:val="0"/>
    <w:rPr>
      <w:rFonts w:hint="eastAsia" w:ascii="宋体" w:hAnsi="宋体" w:eastAsia="宋体" w:cs="宋体"/>
      <w:color w:val="000000"/>
      <w:sz w:val="21"/>
      <w:szCs w:val="21"/>
      <w:u w:val="none"/>
    </w:rPr>
  </w:style>
  <w:style w:type="character" w:customStyle="1" w:styleId="26">
    <w:name w:val="font51"/>
    <w:basedOn w:val="10"/>
    <w:qFormat/>
    <w:uiPriority w:val="0"/>
    <w:rPr>
      <w:rFonts w:hint="eastAsia" w:ascii="宋体" w:hAnsi="宋体" w:eastAsia="宋体" w:cs="宋体"/>
      <w:color w:val="000000"/>
      <w:sz w:val="20"/>
      <w:szCs w:val="20"/>
      <w:u w:val="none"/>
    </w:rPr>
  </w:style>
  <w:style w:type="character" w:customStyle="1" w:styleId="27">
    <w:name w:val="font81"/>
    <w:basedOn w:val="10"/>
    <w:qFormat/>
    <w:uiPriority w:val="0"/>
    <w:rPr>
      <w:rFonts w:hint="default" w:ascii="Times New Roman" w:hAnsi="Times New Roman" w:cs="Times New Roman"/>
      <w:color w:val="000000"/>
      <w:sz w:val="21"/>
      <w:szCs w:val="21"/>
      <w:u w:val="none"/>
    </w:rPr>
  </w:style>
  <w:style w:type="paragraph" w:customStyle="1" w:styleId="28">
    <w:name w:val="Normal_9"/>
    <w:qFormat/>
    <w:uiPriority w:val="0"/>
    <w:pPr>
      <w:spacing w:before="120" w:after="240"/>
      <w:jc w:val="both"/>
    </w:pPr>
    <w:rPr>
      <w:rFonts w:ascii="Calibri" w:hAnsi="Calibri" w:eastAsia="Calibri" w:cs="Times New Roman"/>
      <w:sz w:val="22"/>
      <w:szCs w:val="22"/>
      <w:lang w:val="en-US" w:eastAsia="en-US" w:bidi="ar-SA"/>
    </w:rPr>
  </w:style>
  <w:style w:type="character" w:customStyle="1" w:styleId="29">
    <w:name w:val="font11"/>
    <w:basedOn w:val="10"/>
    <w:qFormat/>
    <w:uiPriority w:val="0"/>
    <w:rPr>
      <w:rFonts w:ascii="Calibri" w:hAnsi="Calibri" w:cs="Calibri"/>
      <w:color w:val="000000"/>
      <w:sz w:val="24"/>
      <w:szCs w:val="24"/>
      <w:u w:val="none"/>
    </w:rPr>
  </w:style>
  <w:style w:type="character" w:customStyle="1" w:styleId="30">
    <w:name w:val="font21"/>
    <w:basedOn w:val="10"/>
    <w:qFormat/>
    <w:uiPriority w:val="0"/>
    <w:rPr>
      <w:rFonts w:hint="eastAsia" w:ascii="宋体" w:hAnsi="宋体" w:eastAsia="宋体" w:cs="宋体"/>
      <w:color w:val="000000"/>
      <w:sz w:val="24"/>
      <w:szCs w:val="24"/>
      <w:u w:val="none"/>
    </w:rPr>
  </w:style>
  <w:style w:type="character" w:customStyle="1" w:styleId="31">
    <w:name w:val="font01"/>
    <w:basedOn w:val="10"/>
    <w:qFormat/>
    <w:uiPriority w:val="0"/>
    <w:rPr>
      <w:rFonts w:hint="eastAsia" w:ascii="宋体" w:hAnsi="宋体" w:eastAsia="宋体" w:cs="宋体"/>
      <w:b/>
      <w:color w:val="000000"/>
      <w:sz w:val="22"/>
      <w:szCs w:val="22"/>
      <w:u w:val="none"/>
      <w:vertAlign w:val="superscript"/>
    </w:rPr>
  </w:style>
  <w:style w:type="character" w:customStyle="1" w:styleId="32">
    <w:name w:val="font41"/>
    <w:basedOn w:val="10"/>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1883</Words>
  <Characters>2185</Characters>
  <Lines>0</Lines>
  <Paragraphs>0</Paragraphs>
  <TotalTime>26</TotalTime>
  <ScaleCrop>false</ScaleCrop>
  <LinksUpToDate>false</LinksUpToDate>
  <CharactersWithSpaces>2196</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四夕羅</cp:lastModifiedBy>
  <cp:lastPrinted>2021-03-30T08:55:00Z</cp:lastPrinted>
  <dcterms:modified xsi:type="dcterms:W3CDTF">2022-11-08T01:47:39Z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8F174C172F3D4E179351CED9E42D6DA7</vt:lpwstr>
  </property>
</Properties>
</file>