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吉利百矿电力业务部（百矿发电厂及银海发电厂）2022年道路维修工程项目招标公告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采购类别：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工程类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项目名称：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吉利百矿电力业务部（百矿发电厂及银海发电厂）2022年道路维修工程项目</w:t>
      </w:r>
    </w:p>
    <w:p>
      <w:pPr>
        <w:numPr>
          <w:ilvl w:val="-1"/>
          <w:numId w:val="0"/>
        </w:num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2.项目概况与招标范围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2.1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项目概</w:t>
      </w:r>
      <w:r>
        <w:rPr>
          <w:rFonts w:hint="eastAsia" w:ascii="微软雅黑" w:hAnsi="微软雅黑" w:eastAsia="微软雅黑" w:cs="微软雅黑"/>
          <w:sz w:val="24"/>
          <w:szCs w:val="24"/>
        </w:rPr>
        <w:t>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highlight w:val="none"/>
        </w:rPr>
        <w:t>吉利百矿集团电力业务部下辖百色百矿发电有限公司（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highlight w:val="none"/>
        </w:rPr>
        <w:t>以下简称“百矿发电厂”）</w:t>
      </w:r>
      <w:r>
        <w:rPr>
          <w:rFonts w:hint="eastAsia" w:ascii="微软雅黑" w:hAnsi="微软雅黑" w:eastAsia="微软雅黑" w:cs="微软雅黑"/>
          <w:sz w:val="24"/>
          <w:highlight w:val="none"/>
          <w:lang w:eastAsia="zh-CN"/>
        </w:rPr>
        <w:t>及</w:t>
      </w:r>
      <w:r>
        <w:rPr>
          <w:rFonts w:hint="eastAsia" w:ascii="微软雅黑" w:hAnsi="微软雅黑" w:eastAsia="微软雅黑" w:cs="微软雅黑"/>
          <w:sz w:val="24"/>
          <w:highlight w:val="none"/>
        </w:rPr>
        <w:t>广西百色银海发电有限公司（以下简称“银海发电厂”）</w:t>
      </w:r>
      <w:r>
        <w:rPr>
          <w:rFonts w:hint="eastAsia" w:ascii="微软雅黑" w:hAnsi="微软雅黑" w:eastAsia="微软雅黑" w:cs="微软雅黑"/>
          <w:sz w:val="24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  <w:highlight w:val="none"/>
        </w:rPr>
        <w:t>百矿发电厂及银海发电厂</w:t>
      </w:r>
      <w:r>
        <w:rPr>
          <w:rFonts w:hint="eastAsia" w:ascii="微软雅黑" w:hAnsi="微软雅黑" w:eastAsia="微软雅黑" w:cs="微软雅黑"/>
          <w:sz w:val="24"/>
          <w:highlight w:val="none"/>
          <w:lang w:eastAsia="zh-CN"/>
        </w:rPr>
        <w:t>均</w:t>
      </w:r>
      <w:r>
        <w:rPr>
          <w:rFonts w:hint="eastAsia" w:ascii="微软雅黑" w:hAnsi="微软雅黑" w:eastAsia="微软雅黑" w:cs="微软雅黑"/>
          <w:sz w:val="24"/>
          <w:highlight w:val="none"/>
        </w:rPr>
        <w:t>位于广西百色市田阳</w:t>
      </w:r>
      <w:r>
        <w:rPr>
          <w:rFonts w:hint="eastAsia" w:ascii="微软雅黑" w:hAnsi="微软雅黑" w:eastAsia="微软雅黑" w:cs="微软雅黑"/>
          <w:sz w:val="24"/>
          <w:highlight w:val="none"/>
          <w:lang w:eastAsia="zh-CN"/>
        </w:rPr>
        <w:t>区</w:t>
      </w:r>
      <w:r>
        <w:rPr>
          <w:rFonts w:hint="eastAsia" w:ascii="微软雅黑" w:hAnsi="微软雅黑" w:eastAsia="微软雅黑" w:cs="微软雅黑"/>
          <w:sz w:val="24"/>
          <w:highlight w:val="none"/>
        </w:rPr>
        <w:t>头塘镇二塘村</w:t>
      </w:r>
      <w:r>
        <w:rPr>
          <w:rFonts w:hint="eastAsia" w:ascii="微软雅黑" w:hAnsi="微软雅黑" w:eastAsia="微软雅黑" w:cs="微软雅黑"/>
          <w:sz w:val="24"/>
        </w:rPr>
        <w:t>。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本次</w:t>
      </w:r>
      <w:r>
        <w:rPr>
          <w:rFonts w:hint="eastAsia" w:ascii="微软雅黑" w:hAnsi="微软雅黑" w:eastAsia="微软雅黑" w:cs="微软雅黑"/>
          <w:sz w:val="24"/>
          <w:lang w:eastAsia="zh-CN"/>
        </w:rPr>
        <w:t>计划对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损坏的路面</w:t>
      </w:r>
      <w:r>
        <w:rPr>
          <w:rFonts w:hint="eastAsia" w:ascii="微软雅黑" w:hAnsi="微软雅黑" w:eastAsia="微软雅黑" w:cs="微软雅黑"/>
          <w:b w:val="0"/>
          <w:sz w:val="24"/>
          <w:szCs w:val="22"/>
          <w:lang w:eastAsia="zh-CN"/>
        </w:rPr>
        <w:t>进行修复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，现就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吉利百矿电力业务部（百矿发电厂及银海发电厂）2022年道路维修工程项目</w:t>
      </w:r>
      <w:r>
        <w:rPr>
          <w:rFonts w:hint="eastAsia" w:ascii="微软雅黑" w:hAnsi="微软雅黑" w:eastAsia="微软雅黑" w:cs="微软雅黑"/>
          <w:sz w:val="24"/>
        </w:rPr>
        <w:t>进行招标，欢迎有实力的公司参与此次招标活动。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2.2</w:t>
      </w:r>
      <w:r>
        <w:rPr>
          <w:rFonts w:hint="eastAsia" w:ascii="微软雅黑" w:hAnsi="微软雅黑" w:eastAsia="微软雅黑" w:cs="微软雅黑"/>
          <w:sz w:val="24"/>
          <w:szCs w:val="24"/>
        </w:rPr>
        <w:t>招标范围：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360" w:firstLineChars="150"/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2.2.1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/>
        </w:rPr>
        <w:t>干煤棚周边两处损坏混凝土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eastAsia="zh-CN"/>
        </w:rPr>
        <w:t>路面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eastAsia="zh-CN"/>
        </w:rPr>
        <w:t>钩机破碎、挖除破损旧混凝土，运至指定地点存放。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用C3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混凝土，双排双向钢筋混凝土摊铺硬化。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eastAsia="zh-CN"/>
        </w:rPr>
        <w:t>配筋双层双向，￠1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eastAsia="zh-CN"/>
        </w:rPr>
        <w:t>@250，钢筋用HRB400螺纹钢；路面按原标高浇筑，中心线为基准，中间高，2%坡度坡向两侧，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需要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eastAsia="zh-CN"/>
        </w:rPr>
        <w:t>半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封闭施工，并且养护不少于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天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路面进行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eastAsia="zh-CN"/>
        </w:rPr>
        <w:t>拉纹、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割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eastAsia="zh-CN"/>
        </w:rPr>
        <w:t>缝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处理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经统计面积约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350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  <w:t>㎡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其他损坏路面翻新，用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/>
        </w:rPr>
        <w:t>厚粗粒式沥青混凝土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填平坑坑洼洼路面，约100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  <w:t>㎡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; 机械压实； 然后机械摊铺中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/>
        </w:rPr>
        <w:t>粒式沥青混凝土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1400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  <w:t>㎡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；压路机压实，为确保车辆通行和施工，道路需半边封闭，另一半施工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。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路面中间高，以2%坡度放坡向道路两侧。（如平面图示）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360" w:firstLineChars="15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2.2.2 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运煤大道及电厂大道损坏沥青路面修复，需先处理坑洼，清洗路面干净，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待路基施工完毕，验收合格后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在原沥青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eastAsia="zh-CN"/>
        </w:rPr>
        <w:t>混凝土路面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喷洒乳化沥青下封层，机械摊铺中粒式沥青混凝土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/>
        </w:rPr>
        <w:t>1800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  <w:t>㎡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 xml:space="preserve"> 厚70mm；摊铺100mm(6mm粗+4mm中)沥青混凝土200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  <w:t>㎡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该路段来往车辆多，为确保车辆通行和施工，道路需半边封闭，另一半施工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。</w:t>
      </w:r>
    </w:p>
    <w:p>
      <w:pPr>
        <w:pStyle w:val="2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2.2.3 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干煤棚上食堂坡道及附近破损路面沥青修复，该路段行车不多。先用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eastAsia="zh-CN"/>
        </w:rPr>
        <w:t>钩机破碎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混凝土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eastAsia="zh-CN"/>
        </w:rPr>
        <w:t>路面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/>
        </w:rPr>
        <w:t>成细块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，机械摊铺100mm(6mm粗+4mm中)沥青混凝土300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  <w:t>㎡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2.2.4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/>
        </w:rPr>
        <w:t>银海发电厂灰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eastAsia="zh-CN"/>
        </w:rPr>
        <w:t>库至百矿运煤大道道下坡处运煤道路沥路面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/>
        </w:rPr>
        <w:t>电缆沟处路面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用C3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混凝土，双排双向钢筋混凝土摊铺硬化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eastAsia="zh-CN"/>
        </w:rPr>
        <w:t>配筋双层双向，￠1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eastAsia="zh-CN"/>
        </w:rPr>
        <w:t>@250，钢筋用HRB400螺纹钢；路面按原标高浇筑，中心线为基准，中间高，2%坡度坡向两侧，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需要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eastAsia="zh-CN"/>
        </w:rPr>
        <w:t>半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封闭施工，并且养护不少于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天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路面进行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eastAsia="zh-CN"/>
        </w:rPr>
        <w:t>拉纹、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割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eastAsia="zh-CN"/>
        </w:rPr>
        <w:t>缝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处理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。经统计面积约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/>
        </w:rPr>
        <w:t>300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  <w:t>㎡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/>
        </w:rPr>
        <w:t>道路其他损坏沥青路面翻新，钩机破碎,挖除破损旧沥青、旧混凝土及已软化路基，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待路基施工完毕，验收合格后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在原沥青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eastAsia="zh-CN"/>
        </w:rPr>
        <w:t>混凝土路面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喷洒乳化沥青下封层，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/>
        </w:rPr>
        <w:t>机械摊铺粗粒式沥青混凝土；面层机械摊铺70mm厚沥青混凝土路面2000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  <w:t>㎡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2.3项目地点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：百色百矿发电有限公司和</w:t>
      </w:r>
      <w:r>
        <w:rPr>
          <w:rFonts w:hint="eastAsia" w:ascii="微软雅黑" w:hAnsi="微软雅黑" w:eastAsia="微软雅黑" w:cs="微软雅黑"/>
          <w:sz w:val="24"/>
          <w:highlight w:val="none"/>
        </w:rPr>
        <w:t>广西百色银海发电有限公司</w:t>
      </w:r>
    </w:p>
    <w:p>
      <w:pPr>
        <w:spacing w:line="440" w:lineRule="exact"/>
        <w:ind w:firstLine="480" w:firstLineChars="200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bCs w:val="0"/>
          <w:sz w:val="24"/>
          <w:szCs w:val="22"/>
          <w:lang w:val="en-US" w:eastAsia="zh-CN"/>
        </w:rPr>
        <w:t>2.4</w:t>
      </w:r>
      <w:r>
        <w:rPr>
          <w:rFonts w:hint="eastAsia" w:ascii="微软雅黑" w:hAnsi="微软雅黑" w:eastAsia="微软雅黑" w:cs="微软雅黑"/>
          <w:bCs w:val="0"/>
          <w:sz w:val="24"/>
          <w:szCs w:val="22"/>
        </w:rPr>
        <w:t>项目</w:t>
      </w:r>
      <w:r>
        <w:rPr>
          <w:rFonts w:hint="eastAsia" w:ascii="微软雅黑" w:hAnsi="微软雅黑" w:eastAsia="微软雅黑" w:cs="微软雅黑"/>
          <w:bCs w:val="0"/>
          <w:sz w:val="24"/>
          <w:szCs w:val="22"/>
          <w:lang w:eastAsia="zh-CN"/>
        </w:rPr>
        <w:t>预计实施时间：自合同签订之日起</w:t>
      </w:r>
      <w:r>
        <w:rPr>
          <w:rFonts w:hint="eastAsia" w:ascii="微软雅黑" w:hAnsi="微软雅黑" w:eastAsia="微软雅黑" w:cs="微软雅黑"/>
          <w:bCs w:val="0"/>
          <w:sz w:val="24"/>
          <w:szCs w:val="22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Cs w:val="0"/>
          <w:sz w:val="24"/>
          <w:szCs w:val="22"/>
          <w:lang w:eastAsia="zh-CN"/>
        </w:rPr>
        <w:t>天（日历天）内完工并验收合格。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本次招标要求投标人具备以下资质。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1在中国境内注册，有独立法人资格和承担民事责任的能力，能够承担本次招标服务内容，具有相关经营范围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2具有建设行政主管部门颁发的《安全生产许可证》，许可范围：建筑施工类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3.3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具有市政公用工程施工总承包叁级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及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以上资质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或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房屋建筑工程施工总承包叁级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及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以上资质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3.4业绩要求：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具有竞标规格及以上相应或相似条件下，近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年（201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年至今，下同）在国内不少于1个及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以上类似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业绩。（业绩须附列表及对应列表的合同原件扫描件。合同原件扫描件含首尾页、能反应合同主体内容、签字盖章页，否则按无效业绩处理）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3.5项目经理要求：必须具有1个及以上类似业绩，需提供合同原件扫描件含首尾页、能反应合同主体内容、签字盖章页及竣工验收资料扫描件等证明材料，否则按无效业绩处理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3.6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近三年未发生过较大质量、安全、环保事故，无履约不良记录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具有良好的银行资信、商业信誉和健全的财务会计制度；没有处于被责令停业或投标资格被取消或财产被接管、冻结、破产状态，企业体制稳定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3.8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本次招标不接受联合体投标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3.9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本次招标不接受分包。</w:t>
      </w:r>
    </w:p>
    <w:p>
      <w:pPr>
        <w:spacing w:line="440" w:lineRule="exact"/>
        <w:rPr>
          <w:rFonts w:hint="eastAsia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4.投标报名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4.1报名方式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4.1.1 *凡有意参加报名的投标人，请至吉利控股集团招标采购平台</w:t>
      </w:r>
      <w:r>
        <w:rPr>
          <w:rStyle w:val="10"/>
          <w:rFonts w:hint="eastAsia" w:ascii="微软雅黑" w:hAnsi="微软雅黑" w:eastAsia="微软雅黑" w:cs="微软雅黑"/>
          <w:color w:val="454D54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zb.geely.com</w:t>
      </w:r>
      <w:r>
        <w:rPr>
          <w:rStyle w:val="10"/>
          <w:rFonts w:hint="eastAsia" w:ascii="微软雅黑" w:hAnsi="微软雅黑" w:eastAsia="微软雅黑" w:cs="微软雅黑"/>
          <w:color w:val="454D54"/>
          <w:sz w:val="24"/>
          <w:szCs w:val="24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4.1.2 *报名截止时间：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default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4.2报名资料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00" w:lineRule="exact"/>
        <w:ind w:left="425" w:hanging="425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三证合一的营业执照副本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；</w:t>
      </w:r>
    </w:p>
    <w:p>
      <w:pPr>
        <w:numPr>
          <w:ilvl w:val="0"/>
          <w:numId w:val="2"/>
        </w:numPr>
        <w:spacing w:line="400" w:lineRule="exact"/>
        <w:ind w:left="425" w:hanging="425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安全生产许可证；</w:t>
      </w:r>
    </w:p>
    <w:p>
      <w:pPr>
        <w:numPr>
          <w:ilvl w:val="0"/>
          <w:numId w:val="2"/>
        </w:numPr>
        <w:spacing w:line="400" w:lineRule="exact"/>
        <w:ind w:left="425" w:hanging="425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资质证书（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市政公用工程施工总承包叁级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及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以上资质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或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房屋建筑工程施工总承包叁级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及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以上资质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）；</w:t>
      </w:r>
    </w:p>
    <w:p>
      <w:pPr>
        <w:numPr>
          <w:ilvl w:val="0"/>
          <w:numId w:val="2"/>
        </w:numPr>
        <w:spacing w:line="400" w:lineRule="exact"/>
        <w:ind w:left="425" w:hanging="425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00" w:lineRule="exact"/>
        <w:ind w:left="425" w:hanging="425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项目经理业绩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证明及证明材料（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提供社保证明、类似项目业绩及证明材料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需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体现项目经理名字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）；</w:t>
      </w:r>
    </w:p>
    <w:p>
      <w:pPr>
        <w:numPr>
          <w:ilvl w:val="0"/>
          <w:numId w:val="2"/>
        </w:numPr>
        <w:spacing w:line="400" w:lineRule="exact"/>
        <w:ind w:left="425" w:hanging="425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企业概况及履约能力说明；</w:t>
      </w:r>
    </w:p>
    <w:p>
      <w:pPr>
        <w:numPr>
          <w:ilvl w:val="0"/>
          <w:numId w:val="2"/>
        </w:numPr>
        <w:spacing w:line="400" w:lineRule="exact"/>
        <w:ind w:left="425" w:hanging="425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近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年经第三方审计的财务报表资料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5.招标文件的获取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5.1报名截止后，对所有报名单位进行资格初审，初审合格后购买招标文件；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5.2招标文件每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7.联系方式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招标人：百色百矿发电有限公司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招标人地址：广西百色市田阳区头塘镇二塘村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开标地址：电力业务部第一会议室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邮编：533615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 手机号 </w:t>
      </w:r>
      <w:r>
        <w:rPr>
          <w:rFonts w:hint="default" w:ascii="微软雅黑" w:hAnsi="微软雅黑" w:eastAsia="微软雅黑" w:cs="微软雅黑"/>
          <w:bCs/>
          <w:sz w:val="24"/>
          <w:szCs w:val="24"/>
          <w:lang w:val="en-US"/>
        </w:rPr>
        <w:t>13978027196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Mao.Luo@geely.com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技术：曹业锦 手机号13768169618 E-mail:Yejin.Cao@geely.com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收款单位名称：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开户行：百色右江农村合作银行城郊支行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账号：603512010108950888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注：无论投标结果如何，投标人自行承担所有与参加投标活动有关的全部费用。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投诉、举报电话：0571-28098168（吉利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科技工程与商务发展部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）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举报邮箱：geelytech.bid@geely.com</w:t>
      </w:r>
    </w:p>
    <w:p>
      <w:pPr>
        <w:widowControl/>
        <w:spacing w:line="440" w:lineRule="exact"/>
        <w:ind w:left="6550" w:leftChars="1445" w:hanging="3516" w:hangingChars="1465"/>
        <w:jc w:val="right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招标人：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百色百矿发电有限公司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、</w:t>
      </w:r>
    </w:p>
    <w:p>
      <w:pPr>
        <w:pStyle w:val="2"/>
        <w:ind w:firstLine="6000" w:firstLineChars="2500"/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广西百色银海发电有限公司</w:t>
      </w:r>
    </w:p>
    <w:p>
      <w:pPr>
        <w:widowControl/>
        <w:spacing w:line="440" w:lineRule="exact"/>
        <w:ind w:left="6550" w:leftChars="1445" w:right="480" w:hanging="3516" w:hangingChars="1465"/>
        <w:jc w:val="center"/>
        <w:rPr>
          <w:rFonts w:hint="eastAsia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  <w:color w:val="000000"/>
          <w:sz w:val="24"/>
          <w:szCs w:val="24"/>
          <w:highlight w:val="none"/>
          <w:lang w:val="en-US"/>
        </w:rPr>
        <w:t xml:space="preserve">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</w:rPr>
        <w:t xml:space="preserve">日 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476F0F"/>
    <w:multiLevelType w:val="singleLevel"/>
    <w:tmpl w:val="CB476F0F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YmUwYTEzY2RhNzgzZTZmMGQ5OTNjNGEyNDY0NzcifQ=="/>
  </w:docVars>
  <w:rsids>
    <w:rsidRoot w:val="00172A27"/>
    <w:rsid w:val="001D7D8F"/>
    <w:rsid w:val="01145609"/>
    <w:rsid w:val="013E61E2"/>
    <w:rsid w:val="0176292B"/>
    <w:rsid w:val="022834DB"/>
    <w:rsid w:val="024D2111"/>
    <w:rsid w:val="02557C87"/>
    <w:rsid w:val="02B046A6"/>
    <w:rsid w:val="02B510FA"/>
    <w:rsid w:val="02FB4A5D"/>
    <w:rsid w:val="03261624"/>
    <w:rsid w:val="032A3FCC"/>
    <w:rsid w:val="03391357"/>
    <w:rsid w:val="03CF73B2"/>
    <w:rsid w:val="047B2B1B"/>
    <w:rsid w:val="04B97278"/>
    <w:rsid w:val="08066011"/>
    <w:rsid w:val="08E6448C"/>
    <w:rsid w:val="092B7632"/>
    <w:rsid w:val="0A4A209B"/>
    <w:rsid w:val="0AC92FC0"/>
    <w:rsid w:val="0AF0679F"/>
    <w:rsid w:val="0B1D3D7C"/>
    <w:rsid w:val="0CA5394B"/>
    <w:rsid w:val="0D130222"/>
    <w:rsid w:val="0D505C1B"/>
    <w:rsid w:val="0E323572"/>
    <w:rsid w:val="0E531C1A"/>
    <w:rsid w:val="0E767028"/>
    <w:rsid w:val="0EB03E61"/>
    <w:rsid w:val="0F3F1AA3"/>
    <w:rsid w:val="10C233A9"/>
    <w:rsid w:val="10EC5B3E"/>
    <w:rsid w:val="11A12C17"/>
    <w:rsid w:val="11DA1F24"/>
    <w:rsid w:val="11E44815"/>
    <w:rsid w:val="12165383"/>
    <w:rsid w:val="12697720"/>
    <w:rsid w:val="13574F3A"/>
    <w:rsid w:val="138E06B8"/>
    <w:rsid w:val="143A44EA"/>
    <w:rsid w:val="146A5792"/>
    <w:rsid w:val="146C382B"/>
    <w:rsid w:val="14EA231D"/>
    <w:rsid w:val="156644E7"/>
    <w:rsid w:val="15866F89"/>
    <w:rsid w:val="15FA0478"/>
    <w:rsid w:val="165A52E4"/>
    <w:rsid w:val="1689600C"/>
    <w:rsid w:val="169336AF"/>
    <w:rsid w:val="17CF6155"/>
    <w:rsid w:val="17EA448C"/>
    <w:rsid w:val="183B2BE1"/>
    <w:rsid w:val="18B47BD7"/>
    <w:rsid w:val="190A6C98"/>
    <w:rsid w:val="19232435"/>
    <w:rsid w:val="19B317F0"/>
    <w:rsid w:val="19EC0189"/>
    <w:rsid w:val="1AAF3709"/>
    <w:rsid w:val="1B17231A"/>
    <w:rsid w:val="1B7E2F52"/>
    <w:rsid w:val="1BD23F86"/>
    <w:rsid w:val="1CF2587F"/>
    <w:rsid w:val="1DF833A9"/>
    <w:rsid w:val="1E625304"/>
    <w:rsid w:val="1EF94E9C"/>
    <w:rsid w:val="1F5E6095"/>
    <w:rsid w:val="205C71BD"/>
    <w:rsid w:val="20716543"/>
    <w:rsid w:val="21DE79D4"/>
    <w:rsid w:val="22095287"/>
    <w:rsid w:val="221C055F"/>
    <w:rsid w:val="2227222A"/>
    <w:rsid w:val="225A73C1"/>
    <w:rsid w:val="22D0336F"/>
    <w:rsid w:val="235B2DA4"/>
    <w:rsid w:val="23D8367D"/>
    <w:rsid w:val="247F5B01"/>
    <w:rsid w:val="24FF1F81"/>
    <w:rsid w:val="25A0388E"/>
    <w:rsid w:val="26202C93"/>
    <w:rsid w:val="266A026F"/>
    <w:rsid w:val="26B24DF9"/>
    <w:rsid w:val="26F50A4F"/>
    <w:rsid w:val="27486A51"/>
    <w:rsid w:val="276A2839"/>
    <w:rsid w:val="28001741"/>
    <w:rsid w:val="28E676DC"/>
    <w:rsid w:val="290D1F44"/>
    <w:rsid w:val="2A487B51"/>
    <w:rsid w:val="2A4E5228"/>
    <w:rsid w:val="2A562521"/>
    <w:rsid w:val="2A664A66"/>
    <w:rsid w:val="2AC31A97"/>
    <w:rsid w:val="2ADA1F54"/>
    <w:rsid w:val="2AFA6CE1"/>
    <w:rsid w:val="2BAE1354"/>
    <w:rsid w:val="2C9973F8"/>
    <w:rsid w:val="2D086A5A"/>
    <w:rsid w:val="2D6E2B18"/>
    <w:rsid w:val="2E44718D"/>
    <w:rsid w:val="2E8250B1"/>
    <w:rsid w:val="309B7A48"/>
    <w:rsid w:val="30A0299D"/>
    <w:rsid w:val="30F6566A"/>
    <w:rsid w:val="31A82723"/>
    <w:rsid w:val="3208539B"/>
    <w:rsid w:val="32D3412D"/>
    <w:rsid w:val="32E21E22"/>
    <w:rsid w:val="33484942"/>
    <w:rsid w:val="35872826"/>
    <w:rsid w:val="36FA581D"/>
    <w:rsid w:val="371C75AC"/>
    <w:rsid w:val="372D5FD0"/>
    <w:rsid w:val="383E03FD"/>
    <w:rsid w:val="384A3BEB"/>
    <w:rsid w:val="38E06631"/>
    <w:rsid w:val="3A20148E"/>
    <w:rsid w:val="3A335C4A"/>
    <w:rsid w:val="3A4E5CD0"/>
    <w:rsid w:val="3A932306"/>
    <w:rsid w:val="3AFD1498"/>
    <w:rsid w:val="3B1A2AF4"/>
    <w:rsid w:val="3B950B19"/>
    <w:rsid w:val="3B9D5C20"/>
    <w:rsid w:val="3BC5272B"/>
    <w:rsid w:val="3BF23CE7"/>
    <w:rsid w:val="3BF76C89"/>
    <w:rsid w:val="3C844C04"/>
    <w:rsid w:val="3CB704EE"/>
    <w:rsid w:val="3CF7166D"/>
    <w:rsid w:val="3D4249FF"/>
    <w:rsid w:val="3D527AF5"/>
    <w:rsid w:val="3E304603"/>
    <w:rsid w:val="3F4A6A3A"/>
    <w:rsid w:val="3FC52CD3"/>
    <w:rsid w:val="3FCC2FD1"/>
    <w:rsid w:val="40067C07"/>
    <w:rsid w:val="40285C30"/>
    <w:rsid w:val="41764A2B"/>
    <w:rsid w:val="43B31BBC"/>
    <w:rsid w:val="44494453"/>
    <w:rsid w:val="44FE459A"/>
    <w:rsid w:val="455A29E7"/>
    <w:rsid w:val="46004114"/>
    <w:rsid w:val="469D2CCA"/>
    <w:rsid w:val="47285F3F"/>
    <w:rsid w:val="48102E25"/>
    <w:rsid w:val="48376942"/>
    <w:rsid w:val="48DB4BFB"/>
    <w:rsid w:val="499B232F"/>
    <w:rsid w:val="49AB37D4"/>
    <w:rsid w:val="4A0B10CE"/>
    <w:rsid w:val="4A7531D6"/>
    <w:rsid w:val="4B165404"/>
    <w:rsid w:val="4B3F6DC9"/>
    <w:rsid w:val="4B4614E8"/>
    <w:rsid w:val="4BA23901"/>
    <w:rsid w:val="4BB226CF"/>
    <w:rsid w:val="4CAF749A"/>
    <w:rsid w:val="4CDF6259"/>
    <w:rsid w:val="4D29462F"/>
    <w:rsid w:val="4D816991"/>
    <w:rsid w:val="4EB9097C"/>
    <w:rsid w:val="4F505DEA"/>
    <w:rsid w:val="4F732300"/>
    <w:rsid w:val="4F7468BD"/>
    <w:rsid w:val="4FAC4FDD"/>
    <w:rsid w:val="4FDA433C"/>
    <w:rsid w:val="4FEB1C3C"/>
    <w:rsid w:val="4FF30377"/>
    <w:rsid w:val="506F3094"/>
    <w:rsid w:val="50E1774A"/>
    <w:rsid w:val="50EB4750"/>
    <w:rsid w:val="5120099F"/>
    <w:rsid w:val="51DF2696"/>
    <w:rsid w:val="5272689E"/>
    <w:rsid w:val="52B4767F"/>
    <w:rsid w:val="53602C91"/>
    <w:rsid w:val="539A0248"/>
    <w:rsid w:val="53A019B1"/>
    <w:rsid w:val="541067D7"/>
    <w:rsid w:val="550448B0"/>
    <w:rsid w:val="55496A0F"/>
    <w:rsid w:val="55F41EB4"/>
    <w:rsid w:val="57ED1672"/>
    <w:rsid w:val="58FB441B"/>
    <w:rsid w:val="595461AF"/>
    <w:rsid w:val="59631FEE"/>
    <w:rsid w:val="596439B2"/>
    <w:rsid w:val="59BA1F29"/>
    <w:rsid w:val="5A3772D0"/>
    <w:rsid w:val="5A63421E"/>
    <w:rsid w:val="5ACA62B5"/>
    <w:rsid w:val="5AD45511"/>
    <w:rsid w:val="5AF04D43"/>
    <w:rsid w:val="5BB12BF2"/>
    <w:rsid w:val="5C006A47"/>
    <w:rsid w:val="5C8A4190"/>
    <w:rsid w:val="5CB87248"/>
    <w:rsid w:val="5D184CAE"/>
    <w:rsid w:val="5D963C63"/>
    <w:rsid w:val="5E09758C"/>
    <w:rsid w:val="5E0D0C8A"/>
    <w:rsid w:val="5ED163CC"/>
    <w:rsid w:val="5EF15762"/>
    <w:rsid w:val="5FD63FB9"/>
    <w:rsid w:val="60681DE6"/>
    <w:rsid w:val="60AE3C5C"/>
    <w:rsid w:val="61A134C4"/>
    <w:rsid w:val="628E67D5"/>
    <w:rsid w:val="6331362E"/>
    <w:rsid w:val="635A5109"/>
    <w:rsid w:val="636A54E7"/>
    <w:rsid w:val="64E64BB9"/>
    <w:rsid w:val="65CC5CFA"/>
    <w:rsid w:val="676C0174"/>
    <w:rsid w:val="67A12167"/>
    <w:rsid w:val="683F7593"/>
    <w:rsid w:val="69366FB6"/>
    <w:rsid w:val="69392234"/>
    <w:rsid w:val="6A357B03"/>
    <w:rsid w:val="6AA21219"/>
    <w:rsid w:val="6AE02E8A"/>
    <w:rsid w:val="6C58731C"/>
    <w:rsid w:val="6C612CF2"/>
    <w:rsid w:val="6C8F2B8E"/>
    <w:rsid w:val="6D070820"/>
    <w:rsid w:val="6D3D10EF"/>
    <w:rsid w:val="6E930B96"/>
    <w:rsid w:val="6F196786"/>
    <w:rsid w:val="6F7C517B"/>
    <w:rsid w:val="70DA60AB"/>
    <w:rsid w:val="70F74E78"/>
    <w:rsid w:val="70FA6B7B"/>
    <w:rsid w:val="71B022EE"/>
    <w:rsid w:val="72184E0E"/>
    <w:rsid w:val="72184E79"/>
    <w:rsid w:val="727E1D6D"/>
    <w:rsid w:val="72D509D3"/>
    <w:rsid w:val="72DC7494"/>
    <w:rsid w:val="735F6D3B"/>
    <w:rsid w:val="742529DB"/>
    <w:rsid w:val="75D44595"/>
    <w:rsid w:val="75E20A21"/>
    <w:rsid w:val="75EC2C69"/>
    <w:rsid w:val="764A00F3"/>
    <w:rsid w:val="76515A45"/>
    <w:rsid w:val="76D07E61"/>
    <w:rsid w:val="76D24A47"/>
    <w:rsid w:val="76E13C50"/>
    <w:rsid w:val="76E83563"/>
    <w:rsid w:val="76EA3FD8"/>
    <w:rsid w:val="76F94EB0"/>
    <w:rsid w:val="77543075"/>
    <w:rsid w:val="77581B01"/>
    <w:rsid w:val="78F72FA8"/>
    <w:rsid w:val="79037204"/>
    <w:rsid w:val="790A612F"/>
    <w:rsid w:val="79155127"/>
    <w:rsid w:val="79E35D34"/>
    <w:rsid w:val="7A0C592D"/>
    <w:rsid w:val="7A5E5F9F"/>
    <w:rsid w:val="7B0C0F79"/>
    <w:rsid w:val="7B332D7F"/>
    <w:rsid w:val="7C51354F"/>
    <w:rsid w:val="7D390712"/>
    <w:rsid w:val="7D4D43F3"/>
    <w:rsid w:val="7E16443C"/>
    <w:rsid w:val="7EFA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444444"/>
      <w:u w:val="none"/>
    </w:rPr>
  </w:style>
  <w:style w:type="character" w:styleId="12">
    <w:name w:val="Emphasis"/>
    <w:basedOn w:val="9"/>
    <w:qFormat/>
    <w:uiPriority w:val="0"/>
    <w:rPr>
      <w:rFonts w:hint="eastAsia" w:ascii="微软雅黑" w:hAnsi="微软雅黑" w:eastAsia="微软雅黑" w:cs="微软雅黑"/>
    </w:rPr>
  </w:style>
  <w:style w:type="character" w:styleId="13">
    <w:name w:val="Hyperlink"/>
    <w:basedOn w:val="9"/>
    <w:qFormat/>
    <w:uiPriority w:val="0"/>
    <w:rPr>
      <w:color w:val="444444"/>
      <w:u w:val="none"/>
    </w:rPr>
  </w:style>
  <w:style w:type="character" w:customStyle="1" w:styleId="15">
    <w:name w:val="enter"/>
    <w:basedOn w:val="9"/>
    <w:qFormat/>
    <w:uiPriority w:val="0"/>
  </w:style>
  <w:style w:type="character" w:customStyle="1" w:styleId="16">
    <w:name w:val="realname"/>
    <w:basedOn w:val="9"/>
    <w:qFormat/>
    <w:uiPriority w:val="0"/>
  </w:style>
  <w:style w:type="character" w:customStyle="1" w:styleId="17">
    <w:name w:val="realname1"/>
    <w:basedOn w:val="9"/>
    <w:qFormat/>
    <w:uiPriority w:val="0"/>
  </w:style>
  <w:style w:type="character" w:customStyle="1" w:styleId="18">
    <w:name w:val="bwvip"/>
    <w:basedOn w:val="9"/>
    <w:qFormat/>
    <w:uiPriority w:val="0"/>
  </w:style>
  <w:style w:type="character" w:customStyle="1" w:styleId="19">
    <w:name w:val="vip"/>
    <w:basedOn w:val="9"/>
    <w:qFormat/>
    <w:uiPriority w:val="0"/>
  </w:style>
  <w:style w:type="character" w:customStyle="1" w:styleId="20">
    <w:name w:val="book"/>
    <w:basedOn w:val="9"/>
    <w:qFormat/>
    <w:uiPriority w:val="0"/>
  </w:style>
  <w:style w:type="character" w:customStyle="1" w:styleId="21">
    <w:name w:val="enter1"/>
    <w:basedOn w:val="9"/>
    <w:qFormat/>
    <w:uiPriority w:val="0"/>
  </w:style>
  <w:style w:type="paragraph" w:customStyle="1" w:styleId="22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3">
    <w:name w:val="font31"/>
    <w:basedOn w:val="9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4">
    <w:name w:val="font6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7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8">
    <w:name w:val="font21"/>
    <w:basedOn w:val="9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2124</Words>
  <Characters>2428</Characters>
  <Lines>0</Lines>
  <Paragraphs>0</Paragraphs>
  <TotalTime>5</TotalTime>
  <ScaleCrop>false</ScaleCrop>
  <LinksUpToDate>false</LinksUpToDate>
  <CharactersWithSpaces>2443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2022-11-10T09:31:03Z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8F174C172F3D4E179351CED9E42D6DA7</vt:lpwstr>
  </property>
</Properties>
</file>