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百色百矿发电有限公司2022年高精度皮带秤采购项目</w:t>
      </w:r>
      <w:r>
        <w:rPr>
          <w:rFonts w:hint="default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-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电厂设备</w:t>
      </w:r>
    </w:p>
    <w:p>
      <w:pPr>
        <w:numPr>
          <w:ilvl w:val="0"/>
          <w:numId w:val="2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百色百矿发电有限公司2022年高精度皮带秤采购项目</w:t>
      </w:r>
    </w:p>
    <w:p>
      <w:pPr>
        <w:numPr>
          <w:ilvl w:val="0"/>
          <w:numId w:val="2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百色百矿发电有限公司（以下简称“百矿发电厂”）位于广西百色市田阳区头塘镇二塘村，距百色市约28公里，距田阳约11公里，东面及南面为农田区，西南面紧邻右</w:t>
      </w:r>
      <w:r>
        <w:rPr>
          <w:rFonts w:hint="eastAsia" w:ascii="微软雅黑" w:hAnsi="微软雅黑" w:eastAsia="微软雅黑" w:cs="微软雅黑"/>
          <w:color w:val="auto"/>
          <w:sz w:val="24"/>
          <w:lang w:eastAsia="zh-CN"/>
        </w:rPr>
        <w:t>江河，厂区门口为324国道。百矿发电厂装机容量为2×350MW，为提高经济性能，</w:t>
      </w:r>
      <w:r>
        <w:rPr>
          <w:rFonts w:hint="eastAsia" w:ascii="微软雅黑" w:hAnsi="微软雅黑" w:eastAsia="微软雅黑" w:cs="微软雅黑"/>
          <w:sz w:val="24"/>
          <w:lang w:eastAsia="zh-CN"/>
        </w:rPr>
        <w:t>本次计划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采购</w:t>
      </w:r>
      <w:r>
        <w:rPr>
          <w:rFonts w:hint="default" w:ascii="微软雅黑" w:hAnsi="微软雅黑" w:eastAsia="微软雅黑" w:cs="微软雅黑"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套高精度皮带秤。现就百色百矿发电有限公司2022年高精度皮带秤采购项目进行招标</w:t>
      </w:r>
      <w:r>
        <w:rPr>
          <w:rFonts w:hint="eastAsia" w:ascii="微软雅黑" w:hAnsi="微软雅黑" w:eastAsia="微软雅黑" w:cs="微软雅黑"/>
          <w:sz w:val="24"/>
        </w:rPr>
        <w:t>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tbl>
      <w:tblPr>
        <w:tblStyle w:val="14"/>
        <w:tblW w:w="8479" w:type="dxa"/>
        <w:tblInd w:w="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9"/>
        <w:gridCol w:w="2550"/>
        <w:gridCol w:w="734"/>
        <w:gridCol w:w="966"/>
        <w:gridCol w:w="1550"/>
        <w:gridCol w:w="196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4" w:hRule="exact"/>
          <w:tblHeader/>
        </w:trPr>
        <w:tc>
          <w:tcPr>
            <w:tcW w:w="719" w:type="dxa"/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序号</w:t>
            </w:r>
          </w:p>
        </w:tc>
        <w:tc>
          <w:tcPr>
            <w:tcW w:w="2550" w:type="dxa"/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设备名称</w:t>
            </w:r>
          </w:p>
        </w:tc>
        <w:tc>
          <w:tcPr>
            <w:tcW w:w="734" w:type="dxa"/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</w:t>
            </w:r>
          </w:p>
        </w:tc>
        <w:tc>
          <w:tcPr>
            <w:tcW w:w="966" w:type="dxa"/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数量</w:t>
            </w:r>
          </w:p>
        </w:tc>
        <w:tc>
          <w:tcPr>
            <w:tcW w:w="1550" w:type="dxa"/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生产厂家</w:t>
            </w:r>
          </w:p>
        </w:tc>
        <w:tc>
          <w:tcPr>
            <w:tcW w:w="1960" w:type="dxa"/>
            <w:shd w:val="clear" w:color="auto" w:fill="C0C0C0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BW500皮带秤积分仪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台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西门子</w:t>
            </w: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MSI皮带秤架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套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6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SIWAREX称重传感器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个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12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WS300测速传感器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个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5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砝码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套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6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测速辊筒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套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7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不锈钢</w:t>
            </w: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控制箱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批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满足现场为主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8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电缆（动力电缆、通信电缆）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批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满足现场为主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lang w:val="en-US"/>
              </w:rPr>
            </w:pPr>
            <w:r>
              <w:rPr>
                <w:rFonts w:hint="default" w:ascii="微软雅黑" w:hAnsi="微软雅黑" w:eastAsia="微软雅黑" w:cs="微软雅黑"/>
                <w:sz w:val="24"/>
                <w:lang w:val="en-US"/>
              </w:rPr>
              <w:t>9</w:t>
            </w:r>
          </w:p>
        </w:tc>
        <w:tc>
          <w:tcPr>
            <w:tcW w:w="255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安装附件</w:t>
            </w:r>
          </w:p>
        </w:tc>
        <w:tc>
          <w:tcPr>
            <w:tcW w:w="7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eastAsia="zh-CN"/>
              </w:rPr>
              <w:t>批</w:t>
            </w:r>
          </w:p>
        </w:tc>
        <w:tc>
          <w:tcPr>
            <w:tcW w:w="9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2</w:t>
            </w:r>
          </w:p>
        </w:tc>
        <w:tc>
          <w:tcPr>
            <w:tcW w:w="155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满足现场为主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71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备注</w:t>
            </w:r>
          </w:p>
        </w:tc>
        <w:tc>
          <w:tcPr>
            <w:tcW w:w="7760" w:type="dxa"/>
            <w:gridSpan w:val="5"/>
            <w:vAlign w:val="center"/>
          </w:tcPr>
          <w:p>
            <w:pPr>
              <w:spacing w:line="440" w:lineRule="exact"/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  <w:t>对没有包括在以上供货范围内的设备及部件，若对安全运行是有必要的，乙方应提出。</w:t>
            </w:r>
          </w:p>
        </w:tc>
      </w:tr>
    </w:tbl>
    <w:p>
      <w:pPr>
        <w:pStyle w:val="15"/>
        <w:jc w:val="center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具有自行生产制造或销售代理资质；具有竞标规格及以上相应或相似条件下，近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注：经销商需提供代理的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生产制造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授权委托书、资质文件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及业绩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15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3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ab/>
      </w:r>
    </w:p>
    <w:p>
      <w:pPr>
        <w:numPr>
          <w:ilvl w:val="0"/>
          <w:numId w:val="3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3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3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pStyle w:val="15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   招标人：百色百矿发电有限公司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广西百色市田阳区头塘镇二塘村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百色市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田阳区头塘镇百色百矿发电有限公司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电力业务部第一会议室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技术: 李金保 手机号13907766671   E-mail:Jinbao.Li01@geely.com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收款单位名称：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开户行：百色右江农村合作银行城郊支行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账号：60351201010895</w:t>
      </w:r>
      <w:bookmarkStart w:id="0" w:name="_GoBack"/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0888</w:t>
      </w:r>
    </w:p>
    <w:bookmarkEnd w:id="0"/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科技工程与商务发展部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百色百矿发电有限公司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03B5EE3"/>
    <w:multiLevelType w:val="multilevel"/>
    <w:tmpl w:val="403B5EE3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2"/>
      <w:lvlText w:val="%1.%2"/>
      <w:lvlJc w:val="left"/>
      <w:pPr>
        <w:ind w:left="576" w:hanging="576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TcxOTNiNTkwM2E2ZTdkNmI0ZjM5OGFjM2I0Y2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FB4A5D"/>
    <w:rsid w:val="03261624"/>
    <w:rsid w:val="03391357"/>
    <w:rsid w:val="035809D3"/>
    <w:rsid w:val="036000C3"/>
    <w:rsid w:val="03822CFE"/>
    <w:rsid w:val="03CF73B2"/>
    <w:rsid w:val="047B2B1B"/>
    <w:rsid w:val="04B97278"/>
    <w:rsid w:val="05187315"/>
    <w:rsid w:val="065B3392"/>
    <w:rsid w:val="08066011"/>
    <w:rsid w:val="08294F11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EA231D"/>
    <w:rsid w:val="150A2F6F"/>
    <w:rsid w:val="153E114C"/>
    <w:rsid w:val="156644E7"/>
    <w:rsid w:val="15866F89"/>
    <w:rsid w:val="158D1F4D"/>
    <w:rsid w:val="15FA0478"/>
    <w:rsid w:val="165A52E4"/>
    <w:rsid w:val="168009DC"/>
    <w:rsid w:val="1689600C"/>
    <w:rsid w:val="169336AF"/>
    <w:rsid w:val="183B2BE1"/>
    <w:rsid w:val="185674AB"/>
    <w:rsid w:val="18B47BD7"/>
    <w:rsid w:val="19B317F0"/>
    <w:rsid w:val="19EC0189"/>
    <w:rsid w:val="1AAF3709"/>
    <w:rsid w:val="1B7E2F52"/>
    <w:rsid w:val="1BD23F86"/>
    <w:rsid w:val="1C867D1E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66BA9"/>
    <w:rsid w:val="221C055F"/>
    <w:rsid w:val="2227222A"/>
    <w:rsid w:val="225A73C1"/>
    <w:rsid w:val="22D0336F"/>
    <w:rsid w:val="235B2DA4"/>
    <w:rsid w:val="23A510A9"/>
    <w:rsid w:val="23D8367D"/>
    <w:rsid w:val="23F34CD8"/>
    <w:rsid w:val="247F5B01"/>
    <w:rsid w:val="25A0388E"/>
    <w:rsid w:val="25EF3DCB"/>
    <w:rsid w:val="26202C93"/>
    <w:rsid w:val="266A026F"/>
    <w:rsid w:val="26B24DF9"/>
    <w:rsid w:val="26F50A4F"/>
    <w:rsid w:val="27486A51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BAE6492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073664A"/>
    <w:rsid w:val="410E6A76"/>
    <w:rsid w:val="41764A2B"/>
    <w:rsid w:val="41B67580"/>
    <w:rsid w:val="42647171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99B232F"/>
    <w:rsid w:val="49AB37D4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DD6663"/>
    <w:rsid w:val="4FEB1C3C"/>
    <w:rsid w:val="4FF30377"/>
    <w:rsid w:val="506F3094"/>
    <w:rsid w:val="50933D48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A4190"/>
    <w:rsid w:val="5CB87248"/>
    <w:rsid w:val="5CD44FEB"/>
    <w:rsid w:val="5D184CAE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A134C4"/>
    <w:rsid w:val="628E67D5"/>
    <w:rsid w:val="63227A39"/>
    <w:rsid w:val="6331362E"/>
    <w:rsid w:val="635A5109"/>
    <w:rsid w:val="636A54E7"/>
    <w:rsid w:val="64E64BB9"/>
    <w:rsid w:val="658E4A0B"/>
    <w:rsid w:val="65CC5CFA"/>
    <w:rsid w:val="668F6144"/>
    <w:rsid w:val="676C0174"/>
    <w:rsid w:val="678B3253"/>
    <w:rsid w:val="67A12167"/>
    <w:rsid w:val="69366FB6"/>
    <w:rsid w:val="69392234"/>
    <w:rsid w:val="69805CFC"/>
    <w:rsid w:val="6A357B03"/>
    <w:rsid w:val="6AA21219"/>
    <w:rsid w:val="6AE02E8A"/>
    <w:rsid w:val="6B0426E3"/>
    <w:rsid w:val="6C58731C"/>
    <w:rsid w:val="6C7F4402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D509D3"/>
    <w:rsid w:val="72DC7494"/>
    <w:rsid w:val="735F6D3B"/>
    <w:rsid w:val="742529DB"/>
    <w:rsid w:val="74D773B5"/>
    <w:rsid w:val="75D44595"/>
    <w:rsid w:val="75E20A21"/>
    <w:rsid w:val="75EC2C69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B0C0F79"/>
    <w:rsid w:val="7B332D7F"/>
    <w:rsid w:val="7CDF1E46"/>
    <w:rsid w:val="7CF6117F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3"/>
    <w:next w:val="1"/>
    <w:unhideWhenUsed/>
    <w:qFormat/>
    <w:uiPriority w:val="0"/>
    <w:pPr>
      <w:keepNext/>
      <w:keepLines/>
      <w:numPr>
        <w:ilvl w:val="1"/>
        <w:numId w:val="1"/>
      </w:numPr>
      <w:spacing w:before="50" w:beforeLines="50" w:after="50" w:afterLines="50" w:line="240" w:lineRule="auto"/>
      <w:ind w:left="0" w:firstLine="0"/>
      <w:outlineLvl w:val="1"/>
    </w:pPr>
    <w:rPr>
      <w:rFonts w:asciiTheme="majorHAnsi" w:hAnsiTheme="majorHAnsi" w:cstheme="majorBidi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enter"/>
    <w:basedOn w:val="9"/>
    <w:qFormat/>
    <w:uiPriority w:val="0"/>
  </w:style>
  <w:style w:type="character" w:customStyle="1" w:styleId="17">
    <w:name w:val="realname"/>
    <w:basedOn w:val="9"/>
    <w:qFormat/>
    <w:uiPriority w:val="0"/>
  </w:style>
  <w:style w:type="character" w:customStyle="1" w:styleId="18">
    <w:name w:val="realname1"/>
    <w:basedOn w:val="9"/>
    <w:qFormat/>
    <w:uiPriority w:val="0"/>
  </w:style>
  <w:style w:type="character" w:customStyle="1" w:styleId="19">
    <w:name w:val="bwvip"/>
    <w:basedOn w:val="9"/>
    <w:qFormat/>
    <w:uiPriority w:val="0"/>
  </w:style>
  <w:style w:type="character" w:customStyle="1" w:styleId="20">
    <w:name w:val="vip"/>
    <w:basedOn w:val="9"/>
    <w:qFormat/>
    <w:uiPriority w:val="0"/>
  </w:style>
  <w:style w:type="character" w:customStyle="1" w:styleId="21">
    <w:name w:val="book"/>
    <w:basedOn w:val="9"/>
    <w:qFormat/>
    <w:uiPriority w:val="0"/>
  </w:style>
  <w:style w:type="character" w:customStyle="1" w:styleId="22">
    <w:name w:val="enter1"/>
    <w:basedOn w:val="9"/>
    <w:qFormat/>
    <w:uiPriority w:val="0"/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4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5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8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1937</Words>
  <Characters>2430</Characters>
  <Lines>0</Lines>
  <Paragraphs>0</Paragraphs>
  <TotalTime>1</TotalTime>
  <ScaleCrop>false</ScaleCrop>
  <LinksUpToDate>false</LinksUpToDate>
  <CharactersWithSpaces>2459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2022-11-11T00:57:57Z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