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  <w:bookmarkStart w:id="0" w:name="_Toc139967210"/>
      <w:bookmarkStart w:id="1" w:name="_Toc139966426"/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广西田林百矿铝业有限公司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整流变及动力变外委检测试验项目</w:t>
      </w: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rPr>
          <w:highlight w:val="none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rPr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技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术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条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件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rPr>
          <w:rFonts w:ascii="宋体" w:hAnsi="宋体"/>
          <w:sz w:val="44"/>
          <w:szCs w:val="44"/>
          <w:highlight w:val="none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rPr>
          <w:rFonts w:ascii="宋体" w:hAnsi="宋体"/>
          <w:sz w:val="44"/>
          <w:szCs w:val="44"/>
          <w:highlight w:val="none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rPr>
          <w:rFonts w:ascii="宋体" w:hAnsi="宋体"/>
          <w:sz w:val="44"/>
          <w:szCs w:val="44"/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highlight w:val="none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bCs/>
          <w:sz w:val="32"/>
          <w:highlight w:val="none"/>
        </w:rPr>
      </w:pPr>
      <w:r>
        <w:rPr>
          <w:rFonts w:hint="eastAsia" w:ascii="宋体" w:hAnsi="宋体"/>
          <w:b/>
          <w:bCs/>
          <w:sz w:val="32"/>
          <w:highlight w:val="none"/>
        </w:rPr>
        <w:t xml:space="preserve">   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/>
          <w:b/>
          <w:bCs/>
          <w:sz w:val="32"/>
          <w:highlight w:val="none"/>
          <w:lang w:eastAsia="zh-CN"/>
        </w:rPr>
      </w:pPr>
      <w:r>
        <w:rPr>
          <w:rFonts w:hint="eastAsia" w:ascii="宋体" w:hAnsi="宋体"/>
          <w:b/>
          <w:bCs/>
          <w:sz w:val="32"/>
          <w:highlight w:val="none"/>
          <w:lang w:eastAsia="zh-CN"/>
        </w:rPr>
        <w:t>广西田林百矿铝业有限公司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 xml:space="preserve">日期：   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宋体" w:hAnsi="宋体"/>
          <w:b/>
          <w:sz w:val="32"/>
          <w:szCs w:val="32"/>
          <w:highlight w:val="none"/>
        </w:rPr>
        <w:t xml:space="preserve">年   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宋体" w:hAnsi="宋体"/>
          <w:b/>
          <w:sz w:val="32"/>
          <w:szCs w:val="32"/>
          <w:highlight w:val="none"/>
        </w:rPr>
        <w:t xml:space="preserve">月   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rPr>
          <w:rFonts w:hint="eastAsia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148" w:leftChars="0" w:right="0" w:rightChars="0" w:firstLine="482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总则</w:t>
      </w: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招标技术条件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仅适用于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田林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百矿铝业有限公司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整流变及动力变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外委试验项目的招标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主要包括</w:t>
      </w:r>
      <w:bookmarkStart w:id="2" w:name="_Toc108846255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整流机组8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台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整流变及2台动力变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进行检测试验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等方面的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技术条件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bookmarkEnd w:id="2"/>
      <w:bookmarkStart w:id="3" w:name="_Toc407201251"/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1.2检测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保证提供符合有关中国国家标准（GB系列）和有关行业最新标准要求的优质设计及产品；同时满足中国国家有关安全、环保等强制性法规、标准的要求。</w:t>
      </w: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1.3 检测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必须根据国家电力监管委员会令第28号，《承装（修、试）电力设施许可证管理办法》第二章第七条规定：取得二级许可证的，可以从事220千伏以下电压等级电力设施的试验活动的资质单位。</w:t>
      </w: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1.3检测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应按照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要求的时间、内容要求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进行试验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。在签订合同之后到开始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之日的这段时间内，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有权提出因标准、规程和规范发生变化而产生的一些补充和修改要求，导致合同设备配置上有局部微小调整，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负责局部的调整，并保证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试验服务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总价不变。 </w:t>
      </w: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技术条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件标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及要求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负责设计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方案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直至最终交付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试验报告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环境条件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  交通地理条件：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位于广西百色田林县旧州镇桂黔（田林）铝产业园项目铝水工程，旧州镇在田林县城西北部，北界贵州省，西邻隆林县，距县城68公里。座落南盘江南岸，有八架、石头林两座水库，板坚水电站1座。年平均气温16.6℃，年降水量1277.9毫米，无霜期335天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.2  自然条件：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极限最高气温                      42.2℃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极限最低气温                      -7.3 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年平均气温                        16～21℃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最热月平均气温                    22.3～27.6℃（7月）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最冷月平均气温                    7.3～12.7℃（1月）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年平均相对湿度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80.5%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年平均降水量                      1277.9mm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日最大降水量                      264mm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海拔                              457m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气压                              980.1hPa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地震烈度:                         VI度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供电电网参数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.1系统额定电压：220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kV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.2频率：50±0.4Hz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.3系统电压范围：220-5%~220+8%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kV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.4系统接地方式：直接接地方式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.3.</w:t>
      </w:r>
      <w:r>
        <w:rPr>
          <w:rFonts w:hint="eastAsia" w:ascii="宋体" w:hAnsi="宋体" w:eastAsia="宋体" w:cs="宋体"/>
          <w:sz w:val="24"/>
          <w:szCs w:val="24"/>
        </w:rPr>
        <w:t>5 爬电比距：3.1cm/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kV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范围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投标方应按合同范围提供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整流变及动力变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试验项目的实施方案、试验、验收应完全符合合同要求。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试验范围：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整流变及2台动力变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40" w:firstLineChars="6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整流变及动力变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外委试验项目单台清单</w:t>
      </w:r>
    </w:p>
    <w:tbl>
      <w:tblPr>
        <w:tblStyle w:val="16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68"/>
        <w:gridCol w:w="3492"/>
        <w:gridCol w:w="351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判据</w:t>
            </w:r>
          </w:p>
        </w:tc>
        <w:tc>
          <w:tcPr>
            <w:tcW w:w="351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方法及说明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5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油中溶解气体分析</w:t>
            </w:r>
          </w:p>
        </w:tc>
        <w:tc>
          <w:tcPr>
            <w:tcW w:w="3492" w:type="dxa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运行变压器油中H2与烃类气体含量（μL/L）超过下列任何一项值时应引起注意总经150 H2 150 C2H2 5（35kV~220KV）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烃类气体总和的产气速率大于6mL/d（开放式）和12mL/d（密封式），或相对产气速率大于10%/月则认为设备有异常（对乙炔&lt;0.1μL/L、总烃小于新设备投运要求时，总烃的绝对产气率可不作分析）。氢气的产气速率大于5mL/d（开放式）和10mL/d（密封式），则认为设备有异常。</w:t>
            </w:r>
          </w:p>
        </w:tc>
        <w:tc>
          <w:tcPr>
            <w:tcW w:w="3515" w:type="dxa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总烃包括CH4、C2H4、C2H6 和C2H2四种气体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溶解气体组份含量有增长趋势时，可结合产气速率判断，必要时缩短周期进行跟踪分析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总烃含量低的设备不宜采用相对产气速率进行判断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18个样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油中水分（mg/L）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运行中：≤25</w:t>
            </w:r>
          </w:p>
        </w:tc>
        <w:tc>
          <w:tcPr>
            <w:tcW w:w="3515" w:type="dxa"/>
          </w:tcPr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按GB/T 7601或 GB/T 7600 进行试验，GB/T 7600为仲裁方法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运行中设备，测量时应注意温度的影响，尽量在顶层油温高于 50℃时采样。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18个样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绕组连同套管的介质损耗因数及电容量</w:t>
            </w:r>
          </w:p>
        </w:tc>
        <w:tc>
          <w:tcPr>
            <w:tcW w:w="349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1）20℃时不大于下列数值∶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110kV~220kV  0.8%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2）介质损耗因数值与出厂试验值或历年的数值比较不应有显著变化（增量不应大于30%）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3）电容量与出厂试验值或历年的数值比较不应有显著变化，变化量&lt;3%；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试验电压：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绕组电压10kV及以上：10kV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绕组电压10kV以下∶Un。 </w:t>
            </w:r>
          </w:p>
        </w:tc>
        <w:tc>
          <w:tcPr>
            <w:tcW w:w="3515" w:type="dxa"/>
          </w:tcPr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非被试绕组应短路接地或屏蔽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同一变压器各绕组介质损耗因数的要求值相同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测量宜在顶层油温低于50℃且高于零度时进行，测量时记录顶层油温和空气相对湿度，分析时应注意温度对介质损耗因数的影响。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套管末屏对地绝缘电阻</w:t>
            </w:r>
          </w:p>
        </w:tc>
        <w:tc>
          <w:tcPr>
            <w:tcW w:w="3492" w:type="dxa"/>
          </w:tcPr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主绝缘的绝缘电阻值不应低于10000MQ；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末屏对地的绝缘电阻不应低于1000MΩ；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电压测量抽头（如果有）对地绝缘电阻不低于1000MΩ。</w:t>
            </w:r>
          </w:p>
        </w:tc>
        <w:tc>
          <w:tcPr>
            <w:tcW w:w="351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测量主绝缘的绝缘电阻应采用5000V或2500V兆欧表，测量末屏对地绝缘电阻和电压测量抽头对地绝缘电阻应采用2500V兆欧表。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10台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四、施工企业资质要求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根据国家电力监管委员会令第28号，《承装（修、试）电力设施许可证管理办法》第一章第四条规定：在中华人民共和国境内从事承装、承修、承试电力设施活动的，应当按照本办法的规定取得许可证。除电监会另有规定外，任何单位或者个人未取得许可证，不得从事承装、承修、承试电力设施活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田林铝厂整流变及动力变检测试验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的企业施工资质为取得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试验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二级许可证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以上，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试验</w:t>
      </w:r>
      <w:bookmarkStart w:id="4" w:name="_GoBack"/>
      <w:bookmarkEnd w:id="4"/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人员必需有进网高压作业许可证。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、执行标准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.1除本招标文件技术条款规定的要求外，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整流变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及动力变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检查（测）</w:t>
      </w:r>
      <w:r>
        <w:rPr>
          <w:rFonts w:hint="eastAsia" w:hAnsi="宋体" w:cs="宋体"/>
          <w:sz w:val="24"/>
          <w:szCs w:val="24"/>
          <w:lang w:val="en-US" w:eastAsia="zh-CN"/>
        </w:rPr>
        <w:t>方案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应遵循以下标准。选用标准应为最新版本。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20" w:firstLineChars="18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试验检测执行标准</w:t>
      </w:r>
    </w:p>
    <w:tbl>
      <w:tblPr>
        <w:tblStyle w:val="15"/>
        <w:tblpPr w:leftFromText="180" w:rightFromText="180" w:vertAnchor="text" w:horzAnchor="page" w:tblpX="5" w:tblpY="305"/>
        <w:tblOverlap w:val="never"/>
        <w:tblW w:w="11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380"/>
        <w:gridCol w:w="1164"/>
        <w:gridCol w:w="1733"/>
        <w:gridCol w:w="2331"/>
        <w:gridCol w:w="4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90" w:type="dxa"/>
            <w:vAlign w:val="top"/>
          </w:tcPr>
          <w:p>
            <w:pPr>
              <w:pStyle w:val="3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37"/>
              <w:spacing w:line="320" w:lineRule="exact"/>
              <w:ind w:right="-58"/>
              <w:rPr>
                <w:b/>
                <w:sz w:val="21"/>
                <w:szCs w:val="21"/>
              </w:rPr>
            </w:pPr>
            <w:r>
              <w:rPr>
                <w:b/>
                <w:spacing w:val="-7"/>
                <w:sz w:val="21"/>
                <w:szCs w:val="21"/>
              </w:rPr>
              <w:t>检查</w:t>
            </w:r>
            <w:r>
              <w:rPr>
                <w:b/>
                <w:sz w:val="21"/>
                <w:szCs w:val="21"/>
              </w:rPr>
              <w:t>（测）对象</w:t>
            </w:r>
          </w:p>
        </w:tc>
        <w:tc>
          <w:tcPr>
            <w:tcW w:w="1164" w:type="dxa"/>
            <w:vAlign w:val="top"/>
          </w:tcPr>
          <w:p>
            <w:pPr>
              <w:pStyle w:val="37"/>
              <w:spacing w:line="320" w:lineRule="exact"/>
              <w:ind w:right="18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变压器状态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line="320" w:lineRule="exact"/>
              <w:ind w:right="2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检查（测）项目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37"/>
              <w:ind w:left="97" w:right="8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检查（测）方法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37"/>
              <w:ind w:left="1864" w:right="185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90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1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ind w:left="17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干式套管</w:t>
            </w: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35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135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红外测温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35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检测套管表面温度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line="320" w:lineRule="exact"/>
              <w:ind w:left="110" w:right="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《DL/T 664-2016 带电设备红外诊断应用规范》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35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135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电容量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" w:line="320" w:lineRule="exact"/>
              <w:ind w:left="961" w:right="103" w:hanging="8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全自动介质损耗测试仪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35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不大于 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35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135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介损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line="314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全自动介质损耗测</w:t>
            </w:r>
          </w:p>
          <w:p>
            <w:pPr>
              <w:pStyle w:val="37"/>
              <w:spacing w:line="304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试仪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35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对比铭牌值，相差不超过±5%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line="317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末屏绝缘电</w:t>
            </w:r>
          </w:p>
          <w:p>
            <w:pPr>
              <w:pStyle w:val="37"/>
              <w:spacing w:line="304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阻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绝缘电阻测试仪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37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≥1000MΩ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line="320" w:lineRule="exact"/>
              <w:ind w:left="109" w:righ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头部、法兰侧是否漏油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37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无渗漏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7" w:line="213" w:lineRule="auto"/>
              <w:ind w:left="109" w:right="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末屏接地帽是否安装到</w:t>
            </w:r>
          </w:p>
          <w:p>
            <w:pPr>
              <w:pStyle w:val="37"/>
              <w:spacing w:line="294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位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手动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可顺利旋紧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7" w:line="213" w:lineRule="auto"/>
              <w:ind w:left="109" w:right="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18"/>
                <w:szCs w:val="18"/>
              </w:rPr>
              <w:t>伞裙是否变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>色、破损或污</w:t>
            </w:r>
          </w:p>
          <w:p>
            <w:pPr>
              <w:pStyle w:val="37"/>
              <w:spacing w:line="294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秽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无破损、无变色、无污秽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490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7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变压器油</w:t>
            </w:r>
          </w:p>
        </w:tc>
        <w:tc>
          <w:tcPr>
            <w:tcW w:w="1164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33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油色谱</w:t>
            </w:r>
          </w:p>
        </w:tc>
        <w:tc>
          <w:tcPr>
            <w:tcW w:w="2331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送检试验室</w:t>
            </w:r>
          </w:p>
        </w:tc>
        <w:tc>
          <w:tcPr>
            <w:tcW w:w="4600" w:type="dxa"/>
            <w:vAlign w:val="top"/>
          </w:tcPr>
          <w:p>
            <w:pPr>
              <w:pStyle w:val="37"/>
              <w:spacing w:before="8" w:line="213" w:lineRule="auto"/>
              <w:ind w:left="110" w:right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position w:val="2"/>
                <w:sz w:val="18"/>
                <w:szCs w:val="18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2"/>
                <w:sz w:val="18"/>
                <w:szCs w:val="18"/>
              </w:rPr>
              <w:t>﹤100,C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2"/>
                <w:sz w:val="18"/>
                <w:szCs w:val="18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2"/>
                <w:sz w:val="18"/>
                <w:szCs w:val="18"/>
              </w:rPr>
              <w:t>﹤2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"/>
                <w:sz w:val="18"/>
                <w:szCs w:val="18"/>
              </w:rPr>
              <w:t>,总烃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2"/>
                <w:sz w:val="18"/>
                <w:szCs w:val="18"/>
              </w:rPr>
              <w:t>﹤100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2"/>
                <w:sz w:val="18"/>
                <w:szCs w:val="18"/>
              </w:rPr>
              <w:t>,油中气体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增长率应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超过《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DL/T</w:t>
            </w:r>
            <w:r>
              <w:rPr>
                <w:rFonts w:hint="eastAsia" w:asciiTheme="minorEastAsia" w:hAnsiTheme="minorEastAsia" w:eastAsiaTheme="minorEastAsia" w:cstheme="minorEastAsia"/>
                <w:spacing w:val="-7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722-2014_变压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器油中溶解气体分析和判断导则》的规</w:t>
            </w:r>
          </w:p>
          <w:p>
            <w:pPr>
              <w:pStyle w:val="37"/>
              <w:spacing w:line="294" w:lineRule="exact"/>
              <w:ind w:left="1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定</w:t>
            </w:r>
          </w:p>
        </w:tc>
      </w:tr>
    </w:tbl>
    <w:tbl>
      <w:tblPr>
        <w:tblStyle w:val="15"/>
        <w:tblpPr w:leftFromText="180" w:rightFromText="180" w:vertAnchor="text" w:horzAnchor="page" w:tblpX="58" w:tblpY="144"/>
        <w:tblOverlap w:val="never"/>
        <w:tblW w:w="11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376"/>
        <w:gridCol w:w="1158"/>
        <w:gridCol w:w="1746"/>
        <w:gridCol w:w="2314"/>
        <w:gridCol w:w="4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46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37"/>
              <w:spacing w:line="320" w:lineRule="exact"/>
              <w:ind w:right="-58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7"/>
                <w:sz w:val="18"/>
                <w:szCs w:val="18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（测）对象</w:t>
            </w:r>
          </w:p>
        </w:tc>
        <w:tc>
          <w:tcPr>
            <w:tcW w:w="1158" w:type="dxa"/>
            <w:vAlign w:val="top"/>
          </w:tcPr>
          <w:p>
            <w:pPr>
              <w:pStyle w:val="37"/>
              <w:spacing w:line="320" w:lineRule="exact"/>
              <w:ind w:right="187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变压器状态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320" w:lineRule="exact"/>
              <w:ind w:left="781" w:right="26" w:hanging="673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检查（测）项目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before="137"/>
              <w:ind w:left="97" w:right="86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检查（测）方法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before="137"/>
              <w:ind w:left="1864" w:right="1852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46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line="299" w:lineRule="exact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299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击穿电压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line="299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送检试验室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line="299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line="301" w:lineRule="exact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301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含水量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line="301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送检试验室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line="301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≤20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line="299" w:lineRule="exact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299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介损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line="299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送检试验室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line="299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≤1%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3</w:t>
            </w:r>
          </w:p>
        </w:tc>
        <w:tc>
          <w:tcPr>
            <w:tcW w:w="1376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 w:line="216" w:lineRule="auto"/>
              <w:ind w:left="592" w:right="161" w:hanging="42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变压器主体</w:t>
            </w:r>
          </w:p>
        </w:tc>
        <w:tc>
          <w:tcPr>
            <w:tcW w:w="1158" w:type="dxa"/>
            <w:vAlign w:val="top"/>
          </w:tcPr>
          <w:p>
            <w:pPr>
              <w:pStyle w:val="37"/>
              <w:spacing w:before="138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322" w:lineRule="exact"/>
              <w:ind w:left="109" w:righ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高压、补偿绕组电容量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line="322" w:lineRule="exact"/>
              <w:ind w:left="961" w:right="103" w:hanging="8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全自动介质损耗测试仪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line="317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对比出厂值或历次试验结果，相差</w:t>
            </w:r>
          </w:p>
          <w:p>
            <w:pPr>
              <w:pStyle w:val="37"/>
              <w:spacing w:line="304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≯3%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before="134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line="313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高压、补偿绕</w:t>
            </w:r>
          </w:p>
          <w:p>
            <w:pPr>
              <w:pStyle w:val="37"/>
              <w:spacing w:line="305" w:lineRule="exact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组介损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line="313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全自动介质损耗测</w:t>
            </w:r>
          </w:p>
          <w:p>
            <w:pPr>
              <w:pStyle w:val="37"/>
              <w:spacing w:line="305" w:lineRule="exact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试仪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spacing w:line="313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100"/>
                <w:sz w:val="18"/>
                <w:szCs w:val="18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spacing w:val="-140"/>
                <w:w w:val="100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100"/>
                <w:sz w:val="18"/>
                <w:szCs w:val="18"/>
              </w:rPr>
              <w:t>，对比最近一次增幅</w:t>
            </w:r>
          </w:p>
          <w:p>
            <w:pPr>
              <w:pStyle w:val="37"/>
              <w:spacing w:line="305" w:lineRule="exact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≯0.3%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停运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before="168" w:line="213" w:lineRule="auto"/>
              <w:ind w:left="109" w:right="3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高压、补偿绕组绝缘电阻、计划指数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绝缘电阻测试仪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numPr>
                <w:ilvl w:val="0"/>
                <w:numId w:val="8"/>
              </w:numPr>
              <w:tabs>
                <w:tab w:val="left" w:pos="531"/>
              </w:tabs>
              <w:spacing w:before="7" w:after="0" w:line="213" w:lineRule="auto"/>
              <w:ind w:left="530" w:right="91" w:hanging="42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绝缘电阻＞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>MΩ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或不低于上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18"/>
                <w:szCs w:val="18"/>
              </w:rPr>
              <w:t xml:space="preserve">次的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70%</w:t>
            </w:r>
          </w:p>
          <w:p>
            <w:pPr>
              <w:pStyle w:val="37"/>
              <w:numPr>
                <w:ilvl w:val="0"/>
                <w:numId w:val="8"/>
              </w:numPr>
              <w:tabs>
                <w:tab w:val="left" w:pos="531"/>
              </w:tabs>
              <w:spacing w:before="0" w:after="0" w:line="310" w:lineRule="exact"/>
              <w:ind w:left="530" w:right="0" w:hanging="421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 xml:space="preserve">极化指数大于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 xml:space="preserve">，当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60s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 xml:space="preserve"> 绝缘电</w:t>
            </w:r>
          </w:p>
          <w:p>
            <w:pPr>
              <w:pStyle w:val="37"/>
              <w:spacing w:line="302" w:lineRule="exact"/>
              <w:ind w:left="5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阻＞10000 MΩ时，可不做要求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温度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65" w:line="213" w:lineRule="auto"/>
              <w:ind w:left="1101" w:right="103" w:hanging="9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油温表、红外测温仪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numPr>
                <w:ilvl w:val="0"/>
                <w:numId w:val="9"/>
              </w:numPr>
              <w:tabs>
                <w:tab w:val="left" w:pos="531"/>
              </w:tabs>
              <w:spacing w:before="8" w:after="0" w:line="213" w:lineRule="auto"/>
              <w:ind w:left="530" w:right="91" w:hanging="42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油面温度指示控制器、绕组温度指示控制器的外观完好，表盘密封良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好；</w:t>
            </w:r>
          </w:p>
          <w:p>
            <w:pPr>
              <w:pStyle w:val="37"/>
              <w:numPr>
                <w:ilvl w:val="0"/>
                <w:numId w:val="9"/>
              </w:numPr>
              <w:tabs>
                <w:tab w:val="left" w:pos="531"/>
              </w:tabs>
              <w:spacing w:before="0" w:after="0" w:line="216" w:lineRule="auto"/>
              <w:ind w:left="530" w:right="-58" w:hanging="42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油箱表面温度、线圈温度等无异常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现象，与远方测温表指示温度一致；</w:t>
            </w:r>
          </w:p>
          <w:p>
            <w:pPr>
              <w:pStyle w:val="37"/>
              <w:numPr>
                <w:ilvl w:val="0"/>
                <w:numId w:val="9"/>
              </w:numPr>
              <w:tabs>
                <w:tab w:val="left" w:pos="531"/>
              </w:tabs>
              <w:spacing w:before="0" w:after="0" w:line="306" w:lineRule="exact"/>
              <w:ind w:left="530" w:right="0" w:hanging="42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油箱表面最高允许温升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80K（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热点</w:t>
            </w:r>
          </w:p>
          <w:p>
            <w:pPr>
              <w:pStyle w:val="37"/>
              <w:spacing w:line="305" w:lineRule="exact"/>
              <w:ind w:left="5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100"/>
                <w:sz w:val="18"/>
                <w:szCs w:val="18"/>
              </w:rPr>
              <w:t>温度-环境温度</w:t>
            </w:r>
            <w:r>
              <w:rPr>
                <w:rFonts w:hint="eastAsia" w:asciiTheme="minorEastAsia" w:hAnsiTheme="minorEastAsia" w:eastAsiaTheme="minorEastAsia" w:cstheme="minorEastAsia"/>
                <w:spacing w:val="-142"/>
                <w:w w:val="100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46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油位</w:t>
            </w:r>
          </w:p>
        </w:tc>
        <w:tc>
          <w:tcPr>
            <w:tcW w:w="2314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18" w:type="dxa"/>
            <w:vAlign w:val="top"/>
          </w:tcPr>
          <w:p>
            <w:pPr>
              <w:pStyle w:val="37"/>
              <w:numPr>
                <w:ilvl w:val="0"/>
                <w:numId w:val="10"/>
              </w:numPr>
              <w:tabs>
                <w:tab w:val="left" w:pos="531"/>
              </w:tabs>
              <w:spacing w:before="0" w:after="0" w:line="316" w:lineRule="exact"/>
              <w:ind w:left="530" w:right="0" w:hanging="421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油位计外观完整，密封良好；</w:t>
            </w:r>
          </w:p>
          <w:p>
            <w:pPr>
              <w:pStyle w:val="37"/>
              <w:numPr>
                <w:ilvl w:val="0"/>
                <w:numId w:val="10"/>
              </w:numPr>
              <w:tabs>
                <w:tab w:val="left" w:pos="531"/>
              </w:tabs>
              <w:spacing w:before="2" w:after="0" w:line="322" w:lineRule="exact"/>
              <w:ind w:left="530" w:right="91" w:hanging="42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对照油位－油温的标准曲线检查油位指示正常；</w:t>
            </w:r>
          </w:p>
        </w:tc>
      </w:tr>
    </w:tbl>
    <w:tbl>
      <w:tblPr>
        <w:tblStyle w:val="15"/>
        <w:tblpPr w:leftFromText="180" w:rightFromText="180" w:vertAnchor="text" w:horzAnchor="page" w:tblpX="80" w:tblpY="4"/>
        <w:tblOverlap w:val="never"/>
        <w:tblW w:w="11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372"/>
        <w:gridCol w:w="1122"/>
        <w:gridCol w:w="1757"/>
        <w:gridCol w:w="2349"/>
        <w:gridCol w:w="4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40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Align w:val="top"/>
          </w:tcPr>
          <w:p>
            <w:pPr>
              <w:pStyle w:val="37"/>
              <w:spacing w:line="320" w:lineRule="exact"/>
              <w:ind w:right="-58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7"/>
                <w:sz w:val="18"/>
                <w:szCs w:val="18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测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7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对象</w:t>
            </w:r>
          </w:p>
        </w:tc>
        <w:tc>
          <w:tcPr>
            <w:tcW w:w="1122" w:type="dxa"/>
            <w:vAlign w:val="top"/>
          </w:tcPr>
          <w:p>
            <w:pPr>
              <w:pStyle w:val="37"/>
              <w:spacing w:line="320" w:lineRule="exact"/>
              <w:ind w:right="187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变压器状态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spacing w:line="320" w:lineRule="exact"/>
              <w:ind w:left="781" w:right="26" w:hanging="673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检查（测）项目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spacing w:before="137"/>
              <w:ind w:left="97" w:right="86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检查（测）方法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spacing w:before="137"/>
              <w:ind w:left="1864" w:right="1852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40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渗漏油情况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spacing w:before="7" w:line="213" w:lineRule="auto"/>
              <w:ind w:left="497" w:right="87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法兰、阀门、表计、分接开关、冷却装置、油箱、油管路等连接处及焊缝处密封应密封良好，无渗漏痕迹。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37"/>
              <w:spacing w:befor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spacing w:befor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运行声响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spacing w:befor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耳闻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numPr>
                <w:ilvl w:val="0"/>
                <w:numId w:val="11"/>
              </w:numPr>
              <w:tabs>
                <w:tab w:val="left" w:pos="531"/>
              </w:tabs>
              <w:spacing w:before="4" w:after="0" w:line="216" w:lineRule="auto"/>
              <w:ind w:left="640" w:leftChars="0" w:right="95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18"/>
                <w:szCs w:val="18"/>
              </w:rPr>
              <w:t>运行中的振动和噪声应无明显变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化，无外部连接松动及异常响声；</w:t>
            </w:r>
          </w:p>
          <w:p>
            <w:pPr>
              <w:pStyle w:val="37"/>
              <w:numPr>
                <w:ilvl w:val="0"/>
                <w:numId w:val="11"/>
              </w:numPr>
              <w:tabs>
                <w:tab w:val="left" w:pos="531"/>
              </w:tabs>
              <w:spacing w:before="0" w:after="0" w:line="289" w:lineRule="exact"/>
              <w:ind w:left="640" w:leftChars="0" w:right="0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无闪络、跳火和放电声响；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接地情况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互感器、钳形表等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numPr>
                <w:ilvl w:val="0"/>
                <w:numId w:val="12"/>
              </w:numPr>
              <w:tabs>
                <w:tab w:val="left" w:pos="531"/>
              </w:tabs>
              <w:spacing w:before="0" w:after="0" w:line="317" w:lineRule="exact"/>
              <w:ind w:left="641" w:leftChars="0" w:right="-58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中性点直流电流正常，无发热现象；</w:t>
            </w:r>
          </w:p>
          <w:p>
            <w:pPr>
              <w:pStyle w:val="37"/>
              <w:numPr>
                <w:ilvl w:val="0"/>
                <w:numId w:val="12"/>
              </w:numPr>
              <w:tabs>
                <w:tab w:val="left" w:pos="531"/>
              </w:tabs>
              <w:spacing w:before="0" w:after="0" w:line="320" w:lineRule="exact"/>
              <w:ind w:left="641" w:leftChars="0" w:right="0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外壳及中性点接地良好；</w:t>
            </w:r>
          </w:p>
          <w:p>
            <w:pPr>
              <w:pStyle w:val="37"/>
              <w:numPr>
                <w:ilvl w:val="0"/>
                <w:numId w:val="12"/>
              </w:numPr>
              <w:tabs>
                <w:tab w:val="left" w:pos="531"/>
              </w:tabs>
              <w:spacing w:before="4" w:after="0" w:line="320" w:lineRule="exact"/>
              <w:ind w:left="641" w:leftChars="0" w:right="91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铁心、夹件外引接地应良好，接地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电流宜在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100mA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18"/>
                <w:szCs w:val="18"/>
              </w:rPr>
              <w:t xml:space="preserve"> 以下；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440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4</w:t>
            </w:r>
          </w:p>
        </w:tc>
        <w:tc>
          <w:tcPr>
            <w:tcW w:w="1372" w:type="dxa"/>
            <w:vMerge w:val="restart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7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冷却装置</w:t>
            </w:r>
          </w:p>
        </w:tc>
        <w:tc>
          <w:tcPr>
            <w:tcW w:w="1122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66" w:line="213" w:lineRule="auto"/>
              <w:ind w:left="109" w:right="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冷却装置运行状况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目测、耳闻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numPr>
                <w:ilvl w:val="0"/>
                <w:numId w:val="13"/>
              </w:numPr>
              <w:tabs>
                <w:tab w:val="left" w:pos="531"/>
              </w:tabs>
              <w:spacing w:before="7" w:after="0" w:line="213" w:lineRule="auto"/>
              <w:ind w:left="640" w:leftChars="0" w:right="91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风冷却器风扇的运行情况正常，无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异常声音及振动；</w:t>
            </w:r>
          </w:p>
          <w:p>
            <w:pPr>
              <w:pStyle w:val="37"/>
              <w:numPr>
                <w:ilvl w:val="0"/>
                <w:numId w:val="13"/>
              </w:numPr>
              <w:tabs>
                <w:tab w:val="left" w:pos="531"/>
              </w:tabs>
              <w:spacing w:before="0" w:after="0" w:line="310" w:lineRule="exact"/>
              <w:ind w:left="640" w:leftChars="0" w:right="0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油流指示正确，无抖动现象；</w:t>
            </w:r>
          </w:p>
          <w:p>
            <w:pPr>
              <w:pStyle w:val="37"/>
              <w:numPr>
                <w:ilvl w:val="0"/>
                <w:numId w:val="13"/>
              </w:numPr>
              <w:tabs>
                <w:tab w:val="left" w:pos="531"/>
              </w:tabs>
              <w:spacing w:before="5" w:after="0" w:line="320" w:lineRule="exact"/>
              <w:ind w:left="640" w:leftChars="0" w:right="91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风扇运转正常，无异声，反转、卡阻、停转现象；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37"/>
              <w:spacing w:before="135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spacing w:line="320" w:lineRule="exact"/>
              <w:ind w:left="109" w:right="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冷却装置渗漏油情况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spacing w:before="135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spacing w:before="135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冷却装置及阀门、管路无渗漏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line="216" w:lineRule="auto"/>
              <w:ind w:left="109" w:right="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冷却器散热情况</w:t>
            </w:r>
          </w:p>
        </w:tc>
        <w:tc>
          <w:tcPr>
            <w:tcW w:w="2349" w:type="dxa"/>
            <w:vAlign w:val="top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目测、触摸</w:t>
            </w:r>
          </w:p>
        </w:tc>
        <w:tc>
          <w:tcPr>
            <w:tcW w:w="4616" w:type="dxa"/>
            <w:vAlign w:val="top"/>
          </w:tcPr>
          <w:p>
            <w:pPr>
              <w:pStyle w:val="37"/>
              <w:numPr>
                <w:ilvl w:val="0"/>
                <w:numId w:val="14"/>
              </w:numPr>
              <w:tabs>
                <w:tab w:val="left" w:pos="531"/>
              </w:tabs>
              <w:spacing w:before="0" w:after="0" w:line="316" w:lineRule="exact"/>
              <w:ind w:left="641" w:leftChars="0" w:right="-58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散热良好，无堵塞、气流不畅情况；</w:t>
            </w:r>
          </w:p>
          <w:p>
            <w:pPr>
              <w:pStyle w:val="37"/>
              <w:numPr>
                <w:ilvl w:val="0"/>
                <w:numId w:val="14"/>
              </w:numPr>
              <w:tabs>
                <w:tab w:val="left" w:pos="531"/>
              </w:tabs>
              <w:spacing w:before="11" w:after="0" w:line="213" w:lineRule="auto"/>
              <w:ind w:left="641" w:leftChars="0" w:right="91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油泵、风扇手感温度相近，运行和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停止信号相对应；</w:t>
            </w:r>
          </w:p>
          <w:p>
            <w:pPr>
              <w:pStyle w:val="37"/>
              <w:numPr>
                <w:ilvl w:val="0"/>
                <w:numId w:val="14"/>
              </w:numPr>
              <w:tabs>
                <w:tab w:val="left" w:pos="531"/>
              </w:tabs>
              <w:spacing w:before="0" w:after="0" w:line="310" w:lineRule="exact"/>
              <w:ind w:left="641" w:leftChars="0" w:right="0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随温度和负载自动投切的冷却器的</w:t>
            </w:r>
          </w:p>
          <w:p>
            <w:pPr>
              <w:pStyle w:val="37"/>
              <w:spacing w:before="4" w:line="320" w:lineRule="exact"/>
              <w:ind w:left="530" w:right="9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投切情况正常，散热片无积聚大量污尘；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40" w:type="dxa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</w:tcPr>
          <w:p>
            <w:pPr>
              <w:pStyle w:val="37"/>
              <w:spacing w:line="320" w:lineRule="exact"/>
              <w:ind w:right="-58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7"/>
                <w:sz w:val="18"/>
                <w:szCs w:val="18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（测）对象</w:t>
            </w:r>
          </w:p>
        </w:tc>
        <w:tc>
          <w:tcPr>
            <w:tcW w:w="1122" w:type="dxa"/>
          </w:tcPr>
          <w:p>
            <w:pPr>
              <w:pStyle w:val="37"/>
              <w:spacing w:line="320" w:lineRule="exact"/>
              <w:ind w:right="187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变压器状态</w:t>
            </w:r>
          </w:p>
        </w:tc>
        <w:tc>
          <w:tcPr>
            <w:tcW w:w="1757" w:type="dxa"/>
          </w:tcPr>
          <w:p>
            <w:pPr>
              <w:pStyle w:val="37"/>
              <w:spacing w:line="320" w:lineRule="exact"/>
              <w:ind w:left="781" w:right="26" w:hanging="673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检查（测）项目</w:t>
            </w:r>
          </w:p>
        </w:tc>
        <w:tc>
          <w:tcPr>
            <w:tcW w:w="2349" w:type="dxa"/>
          </w:tcPr>
          <w:p>
            <w:pPr>
              <w:pStyle w:val="37"/>
              <w:spacing w:before="137"/>
              <w:ind w:left="97" w:right="86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检查（测）方法</w:t>
            </w:r>
          </w:p>
        </w:tc>
        <w:tc>
          <w:tcPr>
            <w:tcW w:w="4616" w:type="dxa"/>
          </w:tcPr>
          <w:p>
            <w:pPr>
              <w:pStyle w:val="37"/>
              <w:spacing w:before="137"/>
              <w:ind w:left="1864" w:right="1852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40" w:type="dxa"/>
            <w:vMerge w:val="restart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>5</w:t>
            </w:r>
          </w:p>
        </w:tc>
        <w:tc>
          <w:tcPr>
            <w:tcW w:w="1372" w:type="dxa"/>
            <w:vMerge w:val="restart"/>
          </w:tcPr>
          <w:p>
            <w:pPr>
              <w:pStyle w:val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spacing w:befor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吸湿器</w:t>
            </w:r>
          </w:p>
        </w:tc>
        <w:tc>
          <w:tcPr>
            <w:tcW w:w="1122" w:type="dxa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硅胶</w:t>
            </w:r>
          </w:p>
        </w:tc>
        <w:tc>
          <w:tcPr>
            <w:tcW w:w="2349" w:type="dxa"/>
          </w:tcPr>
          <w:p>
            <w:pPr>
              <w:pStyle w:val="37"/>
              <w:spacing w:befor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7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16" w:type="dxa"/>
          </w:tcPr>
          <w:p>
            <w:pPr>
              <w:pStyle w:val="37"/>
              <w:numPr>
                <w:ilvl w:val="0"/>
                <w:numId w:val="15"/>
              </w:numPr>
              <w:tabs>
                <w:tab w:val="left" w:pos="531"/>
              </w:tabs>
              <w:spacing w:before="0" w:after="0" w:line="316" w:lineRule="exact"/>
              <w:ind w:left="641" w:leftChars="0" w:right="0" w:hanging="421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 xml:space="preserve">硅胶呼吸器应有至少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2/3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呈蓝色；</w:t>
            </w:r>
          </w:p>
          <w:p>
            <w:pPr>
              <w:pStyle w:val="37"/>
              <w:numPr>
                <w:ilvl w:val="0"/>
                <w:numId w:val="15"/>
              </w:numPr>
              <w:tabs>
                <w:tab w:val="left" w:pos="531"/>
              </w:tabs>
              <w:spacing w:before="4" w:after="0" w:line="320" w:lineRule="exact"/>
              <w:ind w:left="641" w:leftChars="0" w:right="91" w:hanging="42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呼吸器筒无裂痕，油封杯油面高度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适当；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0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</w:tcPr>
          <w:p>
            <w:pPr>
              <w:pStyle w:val="37"/>
              <w:spacing w:before="138"/>
              <w:ind w:left="320" w:right="30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运行</w:t>
            </w:r>
          </w:p>
        </w:tc>
        <w:tc>
          <w:tcPr>
            <w:tcW w:w="1757" w:type="dxa"/>
          </w:tcPr>
          <w:p>
            <w:pPr>
              <w:pStyle w:val="37"/>
              <w:spacing w:before="138"/>
              <w:ind w:left="10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呼吸情况</w:t>
            </w:r>
          </w:p>
        </w:tc>
        <w:tc>
          <w:tcPr>
            <w:tcW w:w="2349" w:type="dxa"/>
          </w:tcPr>
          <w:p>
            <w:pPr>
              <w:pStyle w:val="37"/>
              <w:spacing w:before="138"/>
              <w:ind w:left="102" w:right="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目测</w:t>
            </w:r>
          </w:p>
        </w:tc>
        <w:tc>
          <w:tcPr>
            <w:tcW w:w="4616" w:type="dxa"/>
          </w:tcPr>
          <w:p>
            <w:pPr>
              <w:pStyle w:val="37"/>
              <w:spacing w:before="1" w:line="320" w:lineRule="exact"/>
              <w:ind w:left="497" w:right="-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 xml:space="preserve">呼吸正常，并且伴随着油温的变化，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油杯有气泡产生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完成期限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检测实验完成期限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签订合同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之日起计算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30日个工作日完成检测并出具检测报告。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本招标文件未涉及的事项，执行国家现行标准和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IEC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有关标准。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未尽事宜，协商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解决。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389" w:bottom="1134" w:left="1361" w:header="720" w:footer="720" w:gutter="0"/>
      <w:pgNumType w:fmt="decimal" w:start="1"/>
      <w:cols w:space="720" w:num="1"/>
      <w:docGrid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965835</wp:posOffset>
              </wp:positionV>
              <wp:extent cx="5800090" cy="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09" o:spid="_x0000_s1026" o:spt="32" type="#_x0000_t32" style="position:absolute;left:0pt;margin-left:70.6pt;margin-top:76.05pt;height:0pt;width:456.7pt;mso-position-horizontal-relative:page;mso-position-vertical-relative:page;z-index:-251657216;mso-width-relative:page;mso-height-relative:page;" filled="f" stroked="t" coordsize="21600,21600" o:gfxdata="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hT4I/XAAAADAEAAA8A&#10;AAAAAAAAAQAgAAAAIgAAAGRycy9kb3ducmV2LnhtbFBLAQIUABQAAAAIAIdO4kDJVXTOpgEAAF4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5E43A2"/>
    <w:multiLevelType w:val="singleLevel"/>
    <w:tmpl w:val="A25E43A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4">
    <w:nsid w:val="D4B01561"/>
    <w:multiLevelType w:val="singleLevel"/>
    <w:tmpl w:val="D4B01561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F53ED91C"/>
    <w:multiLevelType w:val="singleLevel"/>
    <w:tmpl w:val="F53ED91C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148"/>
      </w:p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8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abstractNum w:abstractNumId="12">
    <w:nsid w:val="5AAEAEB3"/>
    <w:multiLevelType w:val="singleLevel"/>
    <w:tmpl w:val="5AAEAEB3"/>
    <w:lvl w:ilvl="0" w:tentative="0">
      <w:start w:val="1"/>
      <w:numFmt w:val="decimal"/>
      <w:suff w:val="nothing"/>
      <w:lvlText w:val="%1）"/>
      <w:lvlJc w:val="left"/>
    </w:lvl>
  </w:abstractNum>
  <w:abstractNum w:abstractNumId="13">
    <w:nsid w:val="66D91388"/>
    <w:multiLevelType w:val="singleLevel"/>
    <w:tmpl w:val="66D91388"/>
    <w:lvl w:ilvl="0" w:tentative="0">
      <w:start w:val="1"/>
      <w:numFmt w:val="decimal"/>
      <w:suff w:val="nothing"/>
      <w:lvlText w:val="%1）"/>
      <w:lvlJc w:val="left"/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3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1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zk2OTc1NzE0MTIyZjMwZjQ3YTQ3OGU4Y2VmMTQifQ=="/>
  </w:docVars>
  <w:rsids>
    <w:rsidRoot w:val="7F6939B0"/>
    <w:rsid w:val="00397AB1"/>
    <w:rsid w:val="010945E8"/>
    <w:rsid w:val="012748B0"/>
    <w:rsid w:val="012D260C"/>
    <w:rsid w:val="01427BCC"/>
    <w:rsid w:val="019F3F13"/>
    <w:rsid w:val="020B7BFA"/>
    <w:rsid w:val="022E6257"/>
    <w:rsid w:val="028547AF"/>
    <w:rsid w:val="031C259A"/>
    <w:rsid w:val="03812AD8"/>
    <w:rsid w:val="0385077C"/>
    <w:rsid w:val="03986504"/>
    <w:rsid w:val="03DF44EC"/>
    <w:rsid w:val="041967E3"/>
    <w:rsid w:val="058732BE"/>
    <w:rsid w:val="05EC5CE4"/>
    <w:rsid w:val="063B15BD"/>
    <w:rsid w:val="0647205F"/>
    <w:rsid w:val="06A92A55"/>
    <w:rsid w:val="06C9158F"/>
    <w:rsid w:val="07835B29"/>
    <w:rsid w:val="07A81AF1"/>
    <w:rsid w:val="07BC0B2E"/>
    <w:rsid w:val="07BC2CBB"/>
    <w:rsid w:val="07F91C44"/>
    <w:rsid w:val="08186C13"/>
    <w:rsid w:val="084432C4"/>
    <w:rsid w:val="08BE2171"/>
    <w:rsid w:val="08DD6521"/>
    <w:rsid w:val="08EA3D79"/>
    <w:rsid w:val="09037417"/>
    <w:rsid w:val="09095B27"/>
    <w:rsid w:val="097434DE"/>
    <w:rsid w:val="097962E7"/>
    <w:rsid w:val="09870EBE"/>
    <w:rsid w:val="09B23806"/>
    <w:rsid w:val="09D738EB"/>
    <w:rsid w:val="0A231DA7"/>
    <w:rsid w:val="0A674B07"/>
    <w:rsid w:val="0AB74CDB"/>
    <w:rsid w:val="0B4B5F95"/>
    <w:rsid w:val="0BAC18FF"/>
    <w:rsid w:val="0BE44085"/>
    <w:rsid w:val="0BEE7E31"/>
    <w:rsid w:val="0C2C4B68"/>
    <w:rsid w:val="0C3D5922"/>
    <w:rsid w:val="0C7D35AD"/>
    <w:rsid w:val="0CB9000C"/>
    <w:rsid w:val="0CCB6F53"/>
    <w:rsid w:val="0CD13BE6"/>
    <w:rsid w:val="0D0F751B"/>
    <w:rsid w:val="0D116F43"/>
    <w:rsid w:val="0DF732AB"/>
    <w:rsid w:val="0E3F0F04"/>
    <w:rsid w:val="0ED90E0C"/>
    <w:rsid w:val="0EDA3F0C"/>
    <w:rsid w:val="0F0C7B86"/>
    <w:rsid w:val="0F182E74"/>
    <w:rsid w:val="0F2C3D93"/>
    <w:rsid w:val="0F4207E0"/>
    <w:rsid w:val="0F8D73AE"/>
    <w:rsid w:val="0FA17195"/>
    <w:rsid w:val="0FA97C97"/>
    <w:rsid w:val="0FC35AA0"/>
    <w:rsid w:val="10467AD0"/>
    <w:rsid w:val="104923E1"/>
    <w:rsid w:val="10545213"/>
    <w:rsid w:val="11130DB8"/>
    <w:rsid w:val="112447FF"/>
    <w:rsid w:val="11B6495A"/>
    <w:rsid w:val="11EB15D3"/>
    <w:rsid w:val="12420891"/>
    <w:rsid w:val="12754B61"/>
    <w:rsid w:val="12BF4DA0"/>
    <w:rsid w:val="12D776F2"/>
    <w:rsid w:val="12F36E69"/>
    <w:rsid w:val="130629AB"/>
    <w:rsid w:val="1309206A"/>
    <w:rsid w:val="134C4D14"/>
    <w:rsid w:val="138C767E"/>
    <w:rsid w:val="140B1524"/>
    <w:rsid w:val="14264C2E"/>
    <w:rsid w:val="142A5E28"/>
    <w:rsid w:val="14892BFC"/>
    <w:rsid w:val="14982147"/>
    <w:rsid w:val="14C75DEB"/>
    <w:rsid w:val="154F4698"/>
    <w:rsid w:val="158B788A"/>
    <w:rsid w:val="15C97894"/>
    <w:rsid w:val="16174236"/>
    <w:rsid w:val="162760C2"/>
    <w:rsid w:val="1629502C"/>
    <w:rsid w:val="163F3171"/>
    <w:rsid w:val="169F3CE0"/>
    <w:rsid w:val="16C76C68"/>
    <w:rsid w:val="17014416"/>
    <w:rsid w:val="17416E57"/>
    <w:rsid w:val="17440CFD"/>
    <w:rsid w:val="17463206"/>
    <w:rsid w:val="17557A57"/>
    <w:rsid w:val="1775666E"/>
    <w:rsid w:val="17B06AF3"/>
    <w:rsid w:val="1814437A"/>
    <w:rsid w:val="185A24AB"/>
    <w:rsid w:val="1A475121"/>
    <w:rsid w:val="1A4D3A68"/>
    <w:rsid w:val="1A515ED1"/>
    <w:rsid w:val="1A7614FD"/>
    <w:rsid w:val="1A94380E"/>
    <w:rsid w:val="1AA37597"/>
    <w:rsid w:val="1B5A5081"/>
    <w:rsid w:val="1B8827C3"/>
    <w:rsid w:val="1B925E62"/>
    <w:rsid w:val="1BA204B4"/>
    <w:rsid w:val="1BD94D43"/>
    <w:rsid w:val="1BF32452"/>
    <w:rsid w:val="1C1C5ADA"/>
    <w:rsid w:val="1C722ED2"/>
    <w:rsid w:val="1CB511A6"/>
    <w:rsid w:val="1CB877EF"/>
    <w:rsid w:val="1D6E4692"/>
    <w:rsid w:val="1DBF7B4A"/>
    <w:rsid w:val="1E062FA0"/>
    <w:rsid w:val="1E3E41FB"/>
    <w:rsid w:val="1E4324F2"/>
    <w:rsid w:val="1EE351C5"/>
    <w:rsid w:val="1EF36873"/>
    <w:rsid w:val="1F193778"/>
    <w:rsid w:val="1F8919A6"/>
    <w:rsid w:val="1FAE2F03"/>
    <w:rsid w:val="1FB11D1B"/>
    <w:rsid w:val="1FBA3212"/>
    <w:rsid w:val="1FDB44E4"/>
    <w:rsid w:val="1FE12579"/>
    <w:rsid w:val="202574F9"/>
    <w:rsid w:val="20D67E84"/>
    <w:rsid w:val="21283EBD"/>
    <w:rsid w:val="212F0CE4"/>
    <w:rsid w:val="2148509B"/>
    <w:rsid w:val="2179422B"/>
    <w:rsid w:val="21DB302A"/>
    <w:rsid w:val="220378C6"/>
    <w:rsid w:val="22071193"/>
    <w:rsid w:val="22930439"/>
    <w:rsid w:val="233F68F2"/>
    <w:rsid w:val="23484763"/>
    <w:rsid w:val="234D3B3D"/>
    <w:rsid w:val="23514845"/>
    <w:rsid w:val="237A08CB"/>
    <w:rsid w:val="23C16CA3"/>
    <w:rsid w:val="23C944EF"/>
    <w:rsid w:val="23D9398E"/>
    <w:rsid w:val="23F75EFF"/>
    <w:rsid w:val="240A5016"/>
    <w:rsid w:val="241019FF"/>
    <w:rsid w:val="24427FF5"/>
    <w:rsid w:val="249709E8"/>
    <w:rsid w:val="24A45A7B"/>
    <w:rsid w:val="24A92933"/>
    <w:rsid w:val="24D7316D"/>
    <w:rsid w:val="25104DF1"/>
    <w:rsid w:val="252D762E"/>
    <w:rsid w:val="256A5FB2"/>
    <w:rsid w:val="259A1E94"/>
    <w:rsid w:val="25AC5E3F"/>
    <w:rsid w:val="25BE1919"/>
    <w:rsid w:val="261551D2"/>
    <w:rsid w:val="262D1046"/>
    <w:rsid w:val="26787B21"/>
    <w:rsid w:val="2686148F"/>
    <w:rsid w:val="26A73D40"/>
    <w:rsid w:val="26AD5391"/>
    <w:rsid w:val="26D24FAC"/>
    <w:rsid w:val="271248C2"/>
    <w:rsid w:val="272A7822"/>
    <w:rsid w:val="27734230"/>
    <w:rsid w:val="282166A8"/>
    <w:rsid w:val="283048A2"/>
    <w:rsid w:val="28310CCB"/>
    <w:rsid w:val="28423291"/>
    <w:rsid w:val="287E1A38"/>
    <w:rsid w:val="28E41C06"/>
    <w:rsid w:val="293252CF"/>
    <w:rsid w:val="29AF4221"/>
    <w:rsid w:val="29D152FA"/>
    <w:rsid w:val="29DE45F8"/>
    <w:rsid w:val="29E845E6"/>
    <w:rsid w:val="2A13108F"/>
    <w:rsid w:val="2A1767B0"/>
    <w:rsid w:val="2A853A1F"/>
    <w:rsid w:val="2AD44EEF"/>
    <w:rsid w:val="2AE71587"/>
    <w:rsid w:val="2B656A1C"/>
    <w:rsid w:val="2B900A6D"/>
    <w:rsid w:val="2BA85D1F"/>
    <w:rsid w:val="2BC0321D"/>
    <w:rsid w:val="2BE47245"/>
    <w:rsid w:val="2C011B24"/>
    <w:rsid w:val="2C0E3672"/>
    <w:rsid w:val="2C336106"/>
    <w:rsid w:val="2C3B6515"/>
    <w:rsid w:val="2C5B56AB"/>
    <w:rsid w:val="2C967B09"/>
    <w:rsid w:val="2CED2932"/>
    <w:rsid w:val="2CF52A5A"/>
    <w:rsid w:val="2D346C0B"/>
    <w:rsid w:val="2D4535BB"/>
    <w:rsid w:val="2D7B6290"/>
    <w:rsid w:val="2D7B7183"/>
    <w:rsid w:val="2DAD50B1"/>
    <w:rsid w:val="2DCA3B7B"/>
    <w:rsid w:val="2DD6395A"/>
    <w:rsid w:val="2E9F2BF1"/>
    <w:rsid w:val="2EE44C58"/>
    <w:rsid w:val="2F2D0E84"/>
    <w:rsid w:val="30027572"/>
    <w:rsid w:val="30125A66"/>
    <w:rsid w:val="30965B2A"/>
    <w:rsid w:val="30E07EB2"/>
    <w:rsid w:val="30EB2044"/>
    <w:rsid w:val="30EF3A47"/>
    <w:rsid w:val="30F25021"/>
    <w:rsid w:val="30F31F7F"/>
    <w:rsid w:val="30F541D3"/>
    <w:rsid w:val="318121F0"/>
    <w:rsid w:val="318D1367"/>
    <w:rsid w:val="31E66BC7"/>
    <w:rsid w:val="321C46CB"/>
    <w:rsid w:val="325E1145"/>
    <w:rsid w:val="326777C2"/>
    <w:rsid w:val="327E33E5"/>
    <w:rsid w:val="32E127E2"/>
    <w:rsid w:val="33034812"/>
    <w:rsid w:val="333A1A4F"/>
    <w:rsid w:val="33663440"/>
    <w:rsid w:val="33AB3412"/>
    <w:rsid w:val="33B73AB5"/>
    <w:rsid w:val="33E81DE5"/>
    <w:rsid w:val="33E92ACD"/>
    <w:rsid w:val="340179AA"/>
    <w:rsid w:val="341C4890"/>
    <w:rsid w:val="34A113AD"/>
    <w:rsid w:val="35127F87"/>
    <w:rsid w:val="351B6FC3"/>
    <w:rsid w:val="35715C10"/>
    <w:rsid w:val="35933EBB"/>
    <w:rsid w:val="35A33DF8"/>
    <w:rsid w:val="361179F4"/>
    <w:rsid w:val="36E7186D"/>
    <w:rsid w:val="36EF0FF5"/>
    <w:rsid w:val="370C0CD8"/>
    <w:rsid w:val="372301BE"/>
    <w:rsid w:val="377D4DBC"/>
    <w:rsid w:val="37925B66"/>
    <w:rsid w:val="38355133"/>
    <w:rsid w:val="38EA0B40"/>
    <w:rsid w:val="38EC23FE"/>
    <w:rsid w:val="38F3020F"/>
    <w:rsid w:val="38F51593"/>
    <w:rsid w:val="38FD4905"/>
    <w:rsid w:val="39224595"/>
    <w:rsid w:val="39D612FB"/>
    <w:rsid w:val="3A167BF5"/>
    <w:rsid w:val="3A4A34A8"/>
    <w:rsid w:val="3A7761AA"/>
    <w:rsid w:val="3A7C2322"/>
    <w:rsid w:val="3ABD0CA6"/>
    <w:rsid w:val="3AC550D2"/>
    <w:rsid w:val="3ADF61EB"/>
    <w:rsid w:val="3AE91BD1"/>
    <w:rsid w:val="3AF0248C"/>
    <w:rsid w:val="3AF54F59"/>
    <w:rsid w:val="3B0F6A47"/>
    <w:rsid w:val="3B6E5485"/>
    <w:rsid w:val="3C5A54CE"/>
    <w:rsid w:val="3C6D14BD"/>
    <w:rsid w:val="3CCD3524"/>
    <w:rsid w:val="3D016603"/>
    <w:rsid w:val="3D3F566A"/>
    <w:rsid w:val="3D90704F"/>
    <w:rsid w:val="3D985FBA"/>
    <w:rsid w:val="3DC11BFE"/>
    <w:rsid w:val="3E342B08"/>
    <w:rsid w:val="3E8C7D9C"/>
    <w:rsid w:val="3E932C62"/>
    <w:rsid w:val="3EB95CBF"/>
    <w:rsid w:val="3EDC0C43"/>
    <w:rsid w:val="3EF57AF0"/>
    <w:rsid w:val="3F4A2C5E"/>
    <w:rsid w:val="3FA06C9B"/>
    <w:rsid w:val="3FAD3721"/>
    <w:rsid w:val="40037034"/>
    <w:rsid w:val="40551BFF"/>
    <w:rsid w:val="409C145B"/>
    <w:rsid w:val="40BD09B9"/>
    <w:rsid w:val="411A3517"/>
    <w:rsid w:val="414B5F0D"/>
    <w:rsid w:val="417E6F65"/>
    <w:rsid w:val="418071C6"/>
    <w:rsid w:val="41944F76"/>
    <w:rsid w:val="41E134D7"/>
    <w:rsid w:val="41E75C8F"/>
    <w:rsid w:val="420C237B"/>
    <w:rsid w:val="424E03B7"/>
    <w:rsid w:val="4256470E"/>
    <w:rsid w:val="429D5BAC"/>
    <w:rsid w:val="4315252F"/>
    <w:rsid w:val="439A1433"/>
    <w:rsid w:val="43B64D6D"/>
    <w:rsid w:val="43EF0BF5"/>
    <w:rsid w:val="446A3942"/>
    <w:rsid w:val="447A4140"/>
    <w:rsid w:val="44BF5949"/>
    <w:rsid w:val="44DF626B"/>
    <w:rsid w:val="44E669B0"/>
    <w:rsid w:val="453D6343"/>
    <w:rsid w:val="4549275E"/>
    <w:rsid w:val="45A6032C"/>
    <w:rsid w:val="45C270BE"/>
    <w:rsid w:val="45D1430A"/>
    <w:rsid w:val="46031326"/>
    <w:rsid w:val="460552A2"/>
    <w:rsid w:val="46203A84"/>
    <w:rsid w:val="463B785E"/>
    <w:rsid w:val="468D5D85"/>
    <w:rsid w:val="47150CB5"/>
    <w:rsid w:val="471D3E56"/>
    <w:rsid w:val="474C6414"/>
    <w:rsid w:val="4762334B"/>
    <w:rsid w:val="476E434E"/>
    <w:rsid w:val="47832044"/>
    <w:rsid w:val="479C5451"/>
    <w:rsid w:val="48047603"/>
    <w:rsid w:val="480D77D0"/>
    <w:rsid w:val="48F47279"/>
    <w:rsid w:val="491818D9"/>
    <w:rsid w:val="49A308DF"/>
    <w:rsid w:val="49A94013"/>
    <w:rsid w:val="49B04AE1"/>
    <w:rsid w:val="49FA3F71"/>
    <w:rsid w:val="4A124CDA"/>
    <w:rsid w:val="4A1C235D"/>
    <w:rsid w:val="4A370C29"/>
    <w:rsid w:val="4A526FE7"/>
    <w:rsid w:val="4A59278E"/>
    <w:rsid w:val="4A7B36CF"/>
    <w:rsid w:val="4A9B2C69"/>
    <w:rsid w:val="4ABA0808"/>
    <w:rsid w:val="4ACB1A3F"/>
    <w:rsid w:val="4AF86144"/>
    <w:rsid w:val="4B0B2D31"/>
    <w:rsid w:val="4B0B503B"/>
    <w:rsid w:val="4BA21C64"/>
    <w:rsid w:val="4BA82C04"/>
    <w:rsid w:val="4BB70087"/>
    <w:rsid w:val="4BFA5987"/>
    <w:rsid w:val="4C1F3BD3"/>
    <w:rsid w:val="4C262D9C"/>
    <w:rsid w:val="4C357B8A"/>
    <w:rsid w:val="4C917347"/>
    <w:rsid w:val="4CAC1360"/>
    <w:rsid w:val="4CAF7DFC"/>
    <w:rsid w:val="4D1469B7"/>
    <w:rsid w:val="4D403AF0"/>
    <w:rsid w:val="4DD40BD5"/>
    <w:rsid w:val="4DF61238"/>
    <w:rsid w:val="4E035FEB"/>
    <w:rsid w:val="4E6F0A02"/>
    <w:rsid w:val="4EA461BF"/>
    <w:rsid w:val="4EAE2FE0"/>
    <w:rsid w:val="4F817041"/>
    <w:rsid w:val="4FC27320"/>
    <w:rsid w:val="5097117E"/>
    <w:rsid w:val="50C110BE"/>
    <w:rsid w:val="511044EF"/>
    <w:rsid w:val="518538D1"/>
    <w:rsid w:val="524E10D5"/>
    <w:rsid w:val="53052FBC"/>
    <w:rsid w:val="533B6DB2"/>
    <w:rsid w:val="54000A2D"/>
    <w:rsid w:val="54491AE1"/>
    <w:rsid w:val="547549F3"/>
    <w:rsid w:val="54824C28"/>
    <w:rsid w:val="548D0188"/>
    <w:rsid w:val="54900410"/>
    <w:rsid w:val="549D785B"/>
    <w:rsid w:val="54CF7208"/>
    <w:rsid w:val="54F20A3E"/>
    <w:rsid w:val="55072A0C"/>
    <w:rsid w:val="551B21AA"/>
    <w:rsid w:val="552F62EF"/>
    <w:rsid w:val="555056B8"/>
    <w:rsid w:val="5583293E"/>
    <w:rsid w:val="55A738A9"/>
    <w:rsid w:val="55B61545"/>
    <w:rsid w:val="55BC4D54"/>
    <w:rsid w:val="560669F9"/>
    <w:rsid w:val="56890EC0"/>
    <w:rsid w:val="5692582C"/>
    <w:rsid w:val="57340AB4"/>
    <w:rsid w:val="57887FEB"/>
    <w:rsid w:val="57B25190"/>
    <w:rsid w:val="57C27FB3"/>
    <w:rsid w:val="57E9714D"/>
    <w:rsid w:val="58362E96"/>
    <w:rsid w:val="58844B71"/>
    <w:rsid w:val="5897598C"/>
    <w:rsid w:val="58AB7A4D"/>
    <w:rsid w:val="58C87B06"/>
    <w:rsid w:val="58D94200"/>
    <w:rsid w:val="59586D58"/>
    <w:rsid w:val="59677EDD"/>
    <w:rsid w:val="597F3BD9"/>
    <w:rsid w:val="59A22975"/>
    <w:rsid w:val="5A6727DB"/>
    <w:rsid w:val="5A950C21"/>
    <w:rsid w:val="5AB2264A"/>
    <w:rsid w:val="5AB5751E"/>
    <w:rsid w:val="5ACA6A96"/>
    <w:rsid w:val="5AD16D7A"/>
    <w:rsid w:val="5B362855"/>
    <w:rsid w:val="5B6C4B29"/>
    <w:rsid w:val="5BA94004"/>
    <w:rsid w:val="5BC13E39"/>
    <w:rsid w:val="5C0C4B6F"/>
    <w:rsid w:val="5C1478BF"/>
    <w:rsid w:val="5D0E1D2D"/>
    <w:rsid w:val="5D171886"/>
    <w:rsid w:val="5D1B72B7"/>
    <w:rsid w:val="5D5928C9"/>
    <w:rsid w:val="5D865617"/>
    <w:rsid w:val="5D8D27EC"/>
    <w:rsid w:val="5D912AA4"/>
    <w:rsid w:val="5D9140C6"/>
    <w:rsid w:val="5DB710CE"/>
    <w:rsid w:val="5DBA069B"/>
    <w:rsid w:val="5DD143E3"/>
    <w:rsid w:val="5E9400E1"/>
    <w:rsid w:val="5E9B13CC"/>
    <w:rsid w:val="5EA00D25"/>
    <w:rsid w:val="5EE40247"/>
    <w:rsid w:val="5EEB3C69"/>
    <w:rsid w:val="5EF96073"/>
    <w:rsid w:val="5F315219"/>
    <w:rsid w:val="5F375DF0"/>
    <w:rsid w:val="5F3F4135"/>
    <w:rsid w:val="600A79DA"/>
    <w:rsid w:val="60A018A6"/>
    <w:rsid w:val="60AF090F"/>
    <w:rsid w:val="61673569"/>
    <w:rsid w:val="61682C5E"/>
    <w:rsid w:val="61DB67A7"/>
    <w:rsid w:val="624177A1"/>
    <w:rsid w:val="62D929F0"/>
    <w:rsid w:val="62EB2AC1"/>
    <w:rsid w:val="62EE1B89"/>
    <w:rsid w:val="62F22AE1"/>
    <w:rsid w:val="62F35C8B"/>
    <w:rsid w:val="63096BC2"/>
    <w:rsid w:val="633C5069"/>
    <w:rsid w:val="636F45AD"/>
    <w:rsid w:val="63755B1A"/>
    <w:rsid w:val="637E0D2F"/>
    <w:rsid w:val="63831212"/>
    <w:rsid w:val="63831EDD"/>
    <w:rsid w:val="63CC1E14"/>
    <w:rsid w:val="64113104"/>
    <w:rsid w:val="642C43DB"/>
    <w:rsid w:val="648954CD"/>
    <w:rsid w:val="64A62BB3"/>
    <w:rsid w:val="65263948"/>
    <w:rsid w:val="652A1F63"/>
    <w:rsid w:val="6550372A"/>
    <w:rsid w:val="65B225C6"/>
    <w:rsid w:val="65ED1978"/>
    <w:rsid w:val="65F16AAF"/>
    <w:rsid w:val="65FA05AF"/>
    <w:rsid w:val="666306AD"/>
    <w:rsid w:val="66674A25"/>
    <w:rsid w:val="666B4F96"/>
    <w:rsid w:val="668A0482"/>
    <w:rsid w:val="66AC0416"/>
    <w:rsid w:val="66D92F61"/>
    <w:rsid w:val="673F46FA"/>
    <w:rsid w:val="67540B9B"/>
    <w:rsid w:val="67615E19"/>
    <w:rsid w:val="676D6897"/>
    <w:rsid w:val="676F7603"/>
    <w:rsid w:val="68431811"/>
    <w:rsid w:val="686D2784"/>
    <w:rsid w:val="68C31C4B"/>
    <w:rsid w:val="68C557D6"/>
    <w:rsid w:val="694D280B"/>
    <w:rsid w:val="695D4591"/>
    <w:rsid w:val="6A0A5B9F"/>
    <w:rsid w:val="6A1C2B54"/>
    <w:rsid w:val="6A4577A8"/>
    <w:rsid w:val="6A6359C7"/>
    <w:rsid w:val="6B0D791F"/>
    <w:rsid w:val="6B680B17"/>
    <w:rsid w:val="6B793B38"/>
    <w:rsid w:val="6B9474B7"/>
    <w:rsid w:val="6B962F2A"/>
    <w:rsid w:val="6BA72FC4"/>
    <w:rsid w:val="6BBD3971"/>
    <w:rsid w:val="6BD2315C"/>
    <w:rsid w:val="6C0C1251"/>
    <w:rsid w:val="6C492A20"/>
    <w:rsid w:val="6C7A121B"/>
    <w:rsid w:val="6C914680"/>
    <w:rsid w:val="6CAB7EF3"/>
    <w:rsid w:val="6CF25755"/>
    <w:rsid w:val="6D547904"/>
    <w:rsid w:val="6DED67FF"/>
    <w:rsid w:val="6E604867"/>
    <w:rsid w:val="6E7A70D8"/>
    <w:rsid w:val="6EBE1AC2"/>
    <w:rsid w:val="6ED45312"/>
    <w:rsid w:val="6EEB7DDD"/>
    <w:rsid w:val="6F6F4B1A"/>
    <w:rsid w:val="70045670"/>
    <w:rsid w:val="705A5502"/>
    <w:rsid w:val="708A387D"/>
    <w:rsid w:val="70D66E22"/>
    <w:rsid w:val="71580A15"/>
    <w:rsid w:val="715C23C5"/>
    <w:rsid w:val="723C052C"/>
    <w:rsid w:val="72B4282C"/>
    <w:rsid w:val="72E606C5"/>
    <w:rsid w:val="73091132"/>
    <w:rsid w:val="731A0331"/>
    <w:rsid w:val="73405FC8"/>
    <w:rsid w:val="73AA49C4"/>
    <w:rsid w:val="73D87E91"/>
    <w:rsid w:val="73E27CCA"/>
    <w:rsid w:val="744E2DCF"/>
    <w:rsid w:val="745928B8"/>
    <w:rsid w:val="747E0F70"/>
    <w:rsid w:val="751817E9"/>
    <w:rsid w:val="75357198"/>
    <w:rsid w:val="7541386A"/>
    <w:rsid w:val="755173CC"/>
    <w:rsid w:val="755C542F"/>
    <w:rsid w:val="75E27CA3"/>
    <w:rsid w:val="75E621BD"/>
    <w:rsid w:val="762176F7"/>
    <w:rsid w:val="763005A7"/>
    <w:rsid w:val="76BB08A1"/>
    <w:rsid w:val="76D462C0"/>
    <w:rsid w:val="76D93E7E"/>
    <w:rsid w:val="76E94D9D"/>
    <w:rsid w:val="76F03CC7"/>
    <w:rsid w:val="783B4F91"/>
    <w:rsid w:val="78923E60"/>
    <w:rsid w:val="78DC00C3"/>
    <w:rsid w:val="78E81E30"/>
    <w:rsid w:val="79030C1D"/>
    <w:rsid w:val="797216B7"/>
    <w:rsid w:val="79820877"/>
    <w:rsid w:val="79CD2568"/>
    <w:rsid w:val="7A551207"/>
    <w:rsid w:val="7A747925"/>
    <w:rsid w:val="7A8B6A28"/>
    <w:rsid w:val="7ACC32BD"/>
    <w:rsid w:val="7B0F1528"/>
    <w:rsid w:val="7B437156"/>
    <w:rsid w:val="7B6D4448"/>
    <w:rsid w:val="7B790F5B"/>
    <w:rsid w:val="7BE2110F"/>
    <w:rsid w:val="7C153B0C"/>
    <w:rsid w:val="7C3B28C5"/>
    <w:rsid w:val="7C3B3A30"/>
    <w:rsid w:val="7C3E792E"/>
    <w:rsid w:val="7C5707A7"/>
    <w:rsid w:val="7CCF332B"/>
    <w:rsid w:val="7CD14CAC"/>
    <w:rsid w:val="7D1D3775"/>
    <w:rsid w:val="7D3D1E77"/>
    <w:rsid w:val="7D982275"/>
    <w:rsid w:val="7DFA4D6C"/>
    <w:rsid w:val="7DFA5FDE"/>
    <w:rsid w:val="7E171DC5"/>
    <w:rsid w:val="7E1A4BEE"/>
    <w:rsid w:val="7E2341D3"/>
    <w:rsid w:val="7E3A0B5A"/>
    <w:rsid w:val="7E5A54F7"/>
    <w:rsid w:val="7F5810DF"/>
    <w:rsid w:val="7F6939B0"/>
    <w:rsid w:val="7FC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120" w:line="360" w:lineRule="auto"/>
      <w:jc w:val="center"/>
      <w:textAlignment w:val="baseline"/>
      <w:outlineLvl w:val="0"/>
    </w:pPr>
    <w:rPr>
      <w:rFonts w:eastAsia="黑体"/>
      <w:kern w:val="44"/>
      <w:sz w:val="36"/>
      <w:szCs w:val="20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pacing w:before="120" w:line="360" w:lineRule="auto"/>
      <w:jc w:val="center"/>
      <w:textAlignment w:val="baseline"/>
      <w:outlineLvl w:val="1"/>
    </w:pPr>
    <w:rPr>
      <w:rFonts w:eastAsia="黑体"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17">
    <w:name w:val="Default Paragraph Font"/>
    <w:link w:val="18"/>
    <w:semiHidden/>
    <w:qFormat/>
    <w:uiPriority w:val="0"/>
    <w:rPr>
      <w:kern w:val="1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sz w:val="24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66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"/>
    <w:basedOn w:val="1"/>
    <w:link w:val="17"/>
    <w:qFormat/>
    <w:uiPriority w:val="0"/>
    <w:rPr>
      <w:kern w:val="1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paragraph" w:customStyle="1" w:styleId="22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宋体" w:hAnsi="宋体"/>
      <w:color w:val="000000"/>
      <w:szCs w:val="21"/>
    </w:rPr>
  </w:style>
  <w:style w:type="paragraph" w:customStyle="1" w:styleId="23">
    <w:name w:val="样式 标题 3条标题1.1.1Level 3 Headsect1.2.3h33rd levelH33Head 3..."/>
    <w:basedOn w:val="5"/>
    <w:qFormat/>
    <w:uiPriority w:val="0"/>
    <w:pPr>
      <w:keepNext/>
      <w:keepLines/>
      <w:tabs>
        <w:tab w:val="clear" w:pos="900"/>
      </w:tabs>
      <w:autoSpaceDE/>
      <w:autoSpaceDN/>
      <w:adjustRightInd/>
      <w:spacing w:line="360" w:lineRule="auto"/>
      <w:ind w:left="0"/>
      <w:jc w:val="both"/>
    </w:pPr>
    <w:rPr>
      <w:rFonts w:ascii="宋体" w:hAnsi="宋体" w:eastAsia="宋体" w:cs="Times New Roman"/>
      <w:kern w:val="2"/>
      <w:sz w:val="24"/>
    </w:rPr>
  </w:style>
  <w:style w:type="paragraph" w:customStyle="1" w:styleId="24">
    <w:name w:val="纯文本1"/>
    <w:basedOn w:val="1"/>
    <w:qFormat/>
    <w:uiPriority w:val="0"/>
    <w:pPr>
      <w:autoSpaceDE/>
      <w:autoSpaceDN/>
      <w:spacing w:line="360" w:lineRule="atLeast"/>
      <w:jc w:val="both"/>
      <w:textAlignment w:val="baseline"/>
    </w:pPr>
    <w:rPr>
      <w:rFonts w:ascii="宋体" w:hAnsi="Calibri"/>
      <w:sz w:val="21"/>
      <w:szCs w:val="20"/>
    </w:rPr>
  </w:style>
  <w:style w:type="paragraph" w:customStyle="1" w:styleId="25">
    <w:name w:val="首行缩进"/>
    <w:basedOn w:val="1"/>
    <w:qFormat/>
    <w:uiPriority w:val="0"/>
    <w:pPr>
      <w:spacing w:line="300" w:lineRule="auto"/>
      <w:ind w:firstLine="420" w:firstLineChars="200"/>
    </w:pPr>
    <w:rPr>
      <w:rFonts w:eastAsia="方正书宋简体"/>
      <w:szCs w:val="20"/>
    </w:rPr>
  </w:style>
  <w:style w:type="character" w:customStyle="1" w:styleId="26">
    <w:name w:val="ask-title2"/>
    <w:basedOn w:val="17"/>
    <w:qFormat/>
    <w:uiPriority w:val="0"/>
  </w:style>
  <w:style w:type="paragraph" w:customStyle="1" w:styleId="2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宋体" w:eastAsia="宋体"/>
      <w:kern w:val="0"/>
      <w:sz w:val="24"/>
    </w:rPr>
  </w:style>
  <w:style w:type="paragraph" w:customStyle="1" w:styleId="28">
    <w:name w:val="Plain Text"/>
    <w:basedOn w:val="1"/>
    <w:qFormat/>
    <w:uiPriority w:val="0"/>
    <w:rPr>
      <w:rFonts w:ascii="宋体"/>
      <w:szCs w:val="20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  <w:spacing w:after="40" w:line="406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0">
    <w:name w:val="Body text|1"/>
    <w:basedOn w:val="1"/>
    <w:qFormat/>
    <w:uiPriority w:val="0"/>
    <w:pPr>
      <w:widowControl w:val="0"/>
      <w:shd w:val="clear" w:color="auto" w:fill="auto"/>
      <w:spacing w:after="40" w:line="406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qFormat/>
    <w:uiPriority w:val="0"/>
    <w:pPr>
      <w:widowControl w:val="0"/>
      <w:shd w:val="clear" w:color="auto" w:fill="auto"/>
      <w:spacing w:after="160"/>
    </w:pPr>
    <w:rPr>
      <w:u w:val="none"/>
      <w:shd w:val="clear" w:color="auto" w:fill="auto"/>
    </w:rPr>
  </w:style>
  <w:style w:type="paragraph" w:customStyle="1" w:styleId="32">
    <w:name w:val="Heading #3|1"/>
    <w:basedOn w:val="1"/>
    <w:qFormat/>
    <w:uiPriority w:val="0"/>
    <w:pPr>
      <w:widowControl w:val="0"/>
      <w:shd w:val="clear" w:color="auto" w:fill="auto"/>
      <w:ind w:firstLine="460"/>
      <w:outlineLvl w:val="2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qFormat/>
    <w:uiPriority w:val="0"/>
    <w:pPr>
      <w:widowControl w:val="0"/>
      <w:shd w:val="clear" w:color="auto" w:fill="auto"/>
      <w:spacing w:after="5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3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36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38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2897</Words>
  <Characters>3258</Characters>
  <Lines>0</Lines>
  <Paragraphs>0</Paragraphs>
  <TotalTime>50</TotalTime>
  <ScaleCrop>false</ScaleCrop>
  <LinksUpToDate>false</LinksUpToDate>
  <CharactersWithSpaces>3572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2019-02-25T03:29:00Z</dcterms:created>
  <dc:creator>柏恒～</dc:creator>
  <cp:lastModifiedBy>相聚</cp:lastModifiedBy>
  <cp:lastPrinted>2019-05-08T03:02:00Z</cp:lastPrinted>
  <dcterms:modified xsi:type="dcterms:W3CDTF">2022-11-11T02:43:35Z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056E7A5E601444A9BAD18ADE81769568</vt:lpwstr>
  </property>
</Properties>
</file>