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spacing w:line="360" w:lineRule="auto"/>
        <w:jc w:val="center"/>
        <w:rPr>
          <w:rFonts w:hint="eastAsia" w:ascii="宋体" w:hAnsi="宋体" w:cs="宋体"/>
          <w:b/>
          <w:bCs/>
          <w:sz w:val="44"/>
          <w:szCs w:val="44"/>
          <w:highlight w:val="none"/>
          <w:lang w:val="en-US" w:eastAsia="zh-CN"/>
        </w:rPr>
      </w:pPr>
      <w:bookmarkStart w:id="0" w:name="_Toc139967210"/>
      <w:bookmarkStart w:id="1" w:name="_Toc139966426"/>
      <w:r>
        <w:rPr>
          <w:rFonts w:hint="eastAsia" w:ascii="宋体" w:hAnsi="宋体" w:cs="宋体"/>
          <w:b/>
          <w:bCs/>
          <w:sz w:val="44"/>
          <w:szCs w:val="44"/>
          <w:highlight w:val="none"/>
          <w:lang w:val="en-US" w:eastAsia="zh-CN"/>
        </w:rPr>
        <w:t>广西德保百矿铝业有限公司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cs="宋体"/>
          <w:b/>
          <w:bCs/>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宋体"/>
          <w:b/>
          <w:bCs/>
          <w:sz w:val="44"/>
          <w:szCs w:val="44"/>
          <w:highlight w:val="none"/>
          <w:lang w:eastAsia="zh-CN"/>
        </w:rPr>
      </w:pPr>
      <w:r>
        <w:rPr>
          <w:rFonts w:hint="eastAsia" w:ascii="宋体" w:hAnsi="宋体" w:cs="宋体"/>
          <w:b/>
          <w:bCs/>
          <w:sz w:val="44"/>
          <w:szCs w:val="44"/>
          <w:highlight w:val="none"/>
          <w:lang w:val="en-US" w:eastAsia="zh-CN"/>
        </w:rPr>
        <w:t>网络管理系统、准入系统</w:t>
      </w:r>
      <w:r>
        <w:rPr>
          <w:rFonts w:hint="eastAsia" w:ascii="宋体" w:hAnsi="宋体" w:cs="宋体"/>
          <w:b/>
          <w:bCs/>
          <w:sz w:val="44"/>
          <w:szCs w:val="44"/>
          <w:highlight w:val="none"/>
          <w:lang w:eastAsia="zh-CN"/>
        </w:rPr>
        <w:t>采购</w:t>
      </w:r>
    </w:p>
    <w:p>
      <w:pPr>
        <w:keepNext/>
        <w:keepLines/>
        <w:pageBreakBefore w:val="0"/>
        <w:widowControl/>
        <w:kinsoku/>
        <w:wordWrap/>
        <w:overflowPunct/>
        <w:topLinePunct w:val="0"/>
        <w:autoSpaceDE/>
        <w:autoSpaceDN/>
        <w:bidi w:val="0"/>
        <w:spacing w:line="360" w:lineRule="auto"/>
        <w:rPr>
          <w:rFonts w:ascii="宋体" w:hAnsi="宋体"/>
          <w:sz w:val="44"/>
          <w:szCs w:val="44"/>
          <w:highlight w:val="none"/>
        </w:rPr>
      </w:pP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6"/>
        <w:keepNext/>
        <w:keepLines/>
        <w:pageBreakBefore w:val="0"/>
        <w:widowControl/>
        <w:kinsoku/>
        <w:wordWrap/>
        <w:overflowPunct/>
        <w:topLinePunct w:val="0"/>
        <w:autoSpaceDE/>
        <w:autoSpaceDN/>
        <w:bidi w:val="0"/>
        <w:rPr>
          <w:highlight w:val="none"/>
        </w:rPr>
      </w:pPr>
    </w:p>
    <w:p>
      <w:pPr>
        <w:pStyle w:val="6"/>
        <w:keepNext/>
        <w:keepLines/>
        <w:pageBreakBefore w:val="0"/>
        <w:widowControl/>
        <w:kinsoku/>
        <w:wordWrap/>
        <w:overflowPunct/>
        <w:topLinePunct w:val="0"/>
        <w:autoSpaceDE/>
        <w:autoSpaceDN/>
        <w:bidi w:val="0"/>
        <w:rPr>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技</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术</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条</w:t>
      </w:r>
    </w:p>
    <w:p>
      <w:pPr>
        <w:keepNext/>
        <w:keepLines/>
        <w:pageBreakBefore w:val="0"/>
        <w:widowControl/>
        <w:kinsoku/>
        <w:wordWrap/>
        <w:overflowPunct/>
        <w:topLinePunct w:val="0"/>
        <w:autoSpaceDE/>
        <w:autoSpaceDN/>
        <w:bidi w:val="0"/>
        <w:spacing w:line="360" w:lineRule="auto"/>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件</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keepNext/>
        <w:keepLines/>
        <w:pageBreakBefore w:val="0"/>
        <w:widowControl/>
        <w:kinsoku/>
        <w:wordWrap/>
        <w:overflowPunct/>
        <w:topLinePunct w:val="0"/>
        <w:autoSpaceDE/>
        <w:autoSpaceDN/>
        <w:bidi w:val="0"/>
        <w:adjustRightInd w:val="0"/>
        <w:snapToGrid w:val="0"/>
        <w:spacing w:line="360" w:lineRule="auto"/>
        <w:jc w:val="center"/>
        <w:rPr>
          <w:rFonts w:hint="eastAsia" w:ascii="宋体" w:hAnsi="宋体"/>
          <w:b/>
          <w:bCs/>
          <w:sz w:val="32"/>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bCs/>
          <w:sz w:val="32"/>
          <w:highlight w:val="none"/>
        </w:rPr>
      </w:pPr>
      <w:r>
        <w:rPr>
          <w:rFonts w:hint="eastAsia" w:ascii="宋体" w:hAnsi="宋体"/>
          <w:b/>
          <w:bCs/>
          <w:sz w:val="32"/>
          <w:highlight w:val="none"/>
        </w:rPr>
        <w:t xml:space="preserve">    </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bCs/>
          <w:sz w:val="32"/>
          <w:highlight w:val="none"/>
          <w:lang w:eastAsia="zh-CN"/>
        </w:rPr>
      </w:pPr>
      <w:r>
        <w:rPr>
          <w:rFonts w:hint="eastAsia" w:ascii="宋体" w:hAnsi="宋体"/>
          <w:b/>
          <w:bCs/>
          <w:sz w:val="32"/>
          <w:highlight w:val="none"/>
          <w:lang w:eastAsia="zh-CN"/>
        </w:rPr>
        <w:t>广西德保百矿铝业有限公司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b/>
          <w:sz w:val="32"/>
          <w:szCs w:val="32"/>
          <w:highlight w:val="none"/>
        </w:rPr>
      </w:pPr>
      <w:r>
        <w:rPr>
          <w:rFonts w:hint="eastAsia" w:ascii="宋体" w:hAnsi="宋体"/>
          <w:b/>
          <w:sz w:val="32"/>
          <w:szCs w:val="32"/>
          <w:highlight w:val="none"/>
        </w:rPr>
        <w:t>日期：   年   月   日</w:t>
      </w:r>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p>
      <w:pPr>
        <w:pStyle w:val="6"/>
        <w:rPr>
          <w:rFonts w:hint="eastAsia"/>
          <w:highlight w:val="none"/>
          <w:lang w:val="en-US" w:eastAsia="zh-CN"/>
        </w:rPr>
        <w:sectPr>
          <w:pgSz w:w="11906" w:h="16838"/>
          <w:pgMar w:top="1440" w:right="1800" w:bottom="1440" w:left="1800" w:header="851" w:footer="992" w:gutter="0"/>
          <w:cols w:space="720" w:num="1"/>
          <w:docGrid w:type="lines" w:linePitch="312" w:charSpace="0"/>
        </w:sectPr>
      </w:pPr>
    </w:p>
    <w:p>
      <w:pPr>
        <w:pStyle w:val="7"/>
        <w:keepNext/>
        <w:keepLines/>
        <w:pageBreakBefore w:val="0"/>
        <w:widowControl/>
        <w:numPr>
          <w:ilvl w:val="0"/>
          <w:numId w:val="2"/>
        </w:numPr>
        <w:kinsoku/>
        <w:wordWrap/>
        <w:overflowPunct/>
        <w:topLinePunct w:val="0"/>
        <w:autoSpaceDE/>
        <w:autoSpaceDN/>
        <w:bidi w:val="0"/>
        <w:adjustRightInd/>
        <w:snapToGrid w:val="0"/>
        <w:spacing w:after="0" w:line="360" w:lineRule="auto"/>
        <w:ind w:right="0" w:righ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总则</w:t>
      </w:r>
    </w:p>
    <w:p>
      <w:pPr>
        <w:keepNext/>
        <w:keepLines/>
        <w:pageBreakBefore w:val="0"/>
        <w:widowControl/>
        <w:numPr>
          <w:ilvl w:val="0"/>
          <w:numId w:val="3"/>
        </w:numPr>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招标技术条件</w:t>
      </w:r>
      <w:r>
        <w:rPr>
          <w:rFonts w:hint="eastAsia" w:ascii="宋体" w:hAnsi="宋体" w:eastAsia="宋体" w:cs="宋体"/>
          <w:sz w:val="24"/>
          <w:szCs w:val="24"/>
          <w:highlight w:val="none"/>
        </w:rPr>
        <w:t>仅适用于</w:t>
      </w:r>
      <w:r>
        <w:rPr>
          <w:rFonts w:hint="eastAsia" w:ascii="宋体" w:hAnsi="宋体" w:eastAsia="宋体" w:cs="宋体"/>
          <w:sz w:val="24"/>
          <w:szCs w:val="24"/>
          <w:highlight w:val="none"/>
          <w:lang w:val="en-US" w:eastAsia="zh-CN"/>
        </w:rPr>
        <w:t>广西德保百矿铝业有限公司</w:t>
      </w:r>
      <w:r>
        <w:rPr>
          <w:rFonts w:hint="eastAsia" w:ascii="宋体" w:hAnsi="宋体" w:cs="宋体"/>
          <w:sz w:val="24"/>
          <w:szCs w:val="24"/>
          <w:highlight w:val="none"/>
          <w:lang w:val="en-US" w:eastAsia="zh-CN"/>
        </w:rPr>
        <w:t>隔离网闸</w:t>
      </w:r>
      <w:r>
        <w:rPr>
          <w:rFonts w:hint="eastAsia" w:ascii="宋体" w:hAnsi="宋体" w:eastAsia="宋体" w:cs="宋体"/>
          <w:sz w:val="24"/>
          <w:szCs w:val="24"/>
          <w:highlight w:val="none"/>
          <w:lang w:val="en-US" w:eastAsia="zh-CN"/>
        </w:rPr>
        <w:t>设备的招标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主要包括</w:t>
      </w:r>
      <w:bookmarkStart w:id="2" w:name="_Toc108846255"/>
      <w:r>
        <w:rPr>
          <w:rFonts w:hint="eastAsia" w:ascii="宋体" w:hAnsi="宋体" w:cs="宋体"/>
          <w:sz w:val="24"/>
          <w:szCs w:val="24"/>
          <w:highlight w:val="none"/>
          <w:lang w:val="en-US" w:eastAsia="zh-CN"/>
        </w:rPr>
        <w:t>隔离网闸</w:t>
      </w:r>
      <w:r>
        <w:rPr>
          <w:rFonts w:hint="eastAsia" w:ascii="宋体" w:hAnsi="宋体" w:eastAsia="宋体" w:cs="宋体"/>
          <w:sz w:val="24"/>
          <w:szCs w:val="24"/>
          <w:highlight w:val="none"/>
          <w:lang w:val="en-US" w:eastAsia="zh-CN"/>
        </w:rPr>
        <w:t>设备及附属材料的</w:t>
      </w:r>
      <w:r>
        <w:rPr>
          <w:rFonts w:hint="eastAsia" w:ascii="宋体" w:hAnsi="宋体" w:eastAsia="宋体" w:cs="宋体"/>
          <w:sz w:val="24"/>
          <w:szCs w:val="24"/>
          <w:highlight w:val="none"/>
        </w:rPr>
        <w:t>设计、制作、供货、运输、安装调试、验收和服务等方面的</w:t>
      </w:r>
      <w:r>
        <w:rPr>
          <w:rFonts w:hint="eastAsia" w:ascii="宋体" w:hAnsi="宋体" w:eastAsia="宋体" w:cs="宋体"/>
          <w:sz w:val="24"/>
          <w:szCs w:val="24"/>
          <w:highlight w:val="none"/>
          <w:lang w:eastAsia="zh-CN"/>
        </w:rPr>
        <w:t>技术条件</w:t>
      </w:r>
      <w:r>
        <w:rPr>
          <w:rFonts w:hint="eastAsia" w:ascii="宋体" w:hAnsi="宋体" w:eastAsia="宋体" w:cs="宋体"/>
          <w:sz w:val="24"/>
          <w:szCs w:val="24"/>
          <w:highlight w:val="none"/>
        </w:rPr>
        <w:t>。</w:t>
      </w:r>
      <w:bookmarkEnd w:id="2"/>
      <w:bookmarkStart w:id="3" w:name="_Toc407201251"/>
    </w:p>
    <w:p>
      <w:pPr>
        <w:keepNext/>
        <w:keepLines/>
        <w:pageBreakBefore w:val="0"/>
        <w:widowControl/>
        <w:numPr>
          <w:ilvl w:val="0"/>
          <w:numId w:val="3"/>
        </w:numPr>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保证提供符合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信息安全技术 工业控制网络安全隔离与信息交换系统安全技术要求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和有关行业最新标准要求的优质设计及产品；同时满足中国国家有关安全、环保等强制性法规、标准的要求。</w:t>
      </w:r>
    </w:p>
    <w:p>
      <w:pPr>
        <w:keepNext/>
        <w:keepLines/>
        <w:pageBreakBefore w:val="0"/>
        <w:widowControl/>
        <w:numPr>
          <w:ilvl w:val="0"/>
          <w:numId w:val="3"/>
        </w:numPr>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应按照</w:t>
      </w:r>
      <w:r>
        <w:rPr>
          <w:rFonts w:hint="eastAsia" w:ascii="宋体" w:hAnsi="宋体" w:eastAsia="宋体" w:cs="宋体"/>
          <w:sz w:val="24"/>
          <w:szCs w:val="24"/>
          <w:highlight w:val="none"/>
          <w:lang w:val="en-US" w:eastAsia="zh-CN"/>
        </w:rPr>
        <w:t>需方</w:t>
      </w:r>
      <w:r>
        <w:rPr>
          <w:rFonts w:hint="eastAsia" w:ascii="宋体" w:hAnsi="宋体" w:eastAsia="宋体" w:cs="宋体"/>
          <w:sz w:val="24"/>
          <w:szCs w:val="24"/>
          <w:highlight w:val="none"/>
        </w:rPr>
        <w:t>要求的时间、内容深度要求提供所需要的设计、施工文件及设备资料等，并按照工程进度要求随时修正。在签订合同之后到</w:t>
      </w: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开始制造、安装之日的这段时间内，</w:t>
      </w:r>
      <w:r>
        <w:rPr>
          <w:rFonts w:hint="eastAsia" w:ascii="宋体" w:hAnsi="宋体" w:eastAsia="宋体" w:cs="宋体"/>
          <w:sz w:val="24"/>
          <w:szCs w:val="24"/>
          <w:highlight w:val="none"/>
          <w:lang w:val="en-US" w:eastAsia="zh-CN"/>
        </w:rPr>
        <w:t>需方</w:t>
      </w:r>
      <w:r>
        <w:rPr>
          <w:rFonts w:hint="eastAsia" w:ascii="宋体" w:hAnsi="宋体" w:eastAsia="宋体" w:cs="宋体"/>
          <w:sz w:val="24"/>
          <w:szCs w:val="24"/>
          <w:highlight w:val="none"/>
        </w:rPr>
        <w:t>有权提出因标准、规程和规范发生变化而产生的一些补充和修改要求，导致合同设备配置上有局部微小调整，</w:t>
      </w: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 xml:space="preserve">负责局部的调整，并保证设备总价不变。 </w:t>
      </w:r>
    </w:p>
    <w:p>
      <w:pPr>
        <w:keepNext/>
        <w:keepLines/>
        <w:pageBreakBefore w:val="0"/>
        <w:widowControl/>
        <w:numPr>
          <w:ilvl w:val="0"/>
          <w:numId w:val="3"/>
        </w:numPr>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设备采用的专利涉及到的全部费用均被认为已包含在设备报价中，</w:t>
      </w: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应保证</w:t>
      </w:r>
      <w:r>
        <w:rPr>
          <w:rFonts w:hint="eastAsia" w:ascii="宋体" w:hAnsi="宋体" w:eastAsia="宋体" w:cs="宋体"/>
          <w:sz w:val="24"/>
          <w:szCs w:val="24"/>
          <w:highlight w:val="none"/>
          <w:lang w:val="en-US" w:eastAsia="zh-CN"/>
        </w:rPr>
        <w:t>需方</w:t>
      </w:r>
      <w:r>
        <w:rPr>
          <w:rFonts w:hint="eastAsia" w:ascii="宋体" w:hAnsi="宋体" w:eastAsia="宋体" w:cs="宋体"/>
          <w:sz w:val="24"/>
          <w:szCs w:val="24"/>
          <w:highlight w:val="none"/>
        </w:rPr>
        <w:t>不承担有关设备专利的一切责任。</w:t>
      </w:r>
    </w:p>
    <w:p>
      <w:pPr>
        <w:keepNext/>
        <w:keepLines/>
        <w:pageBreakBefore w:val="0"/>
        <w:widowControl/>
        <w:numPr>
          <w:ilvl w:val="0"/>
          <w:numId w:val="3"/>
        </w:numPr>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保证所提供的设备、产品必须完全符合本</w:t>
      </w:r>
      <w:r>
        <w:rPr>
          <w:rFonts w:hint="eastAsia" w:ascii="宋体" w:hAnsi="宋体" w:eastAsia="宋体" w:cs="宋体"/>
          <w:sz w:val="24"/>
          <w:szCs w:val="24"/>
          <w:highlight w:val="none"/>
          <w:lang w:eastAsia="zh-CN"/>
        </w:rPr>
        <w:t>技术条件</w:t>
      </w:r>
      <w:r>
        <w:rPr>
          <w:rFonts w:hint="eastAsia" w:ascii="宋体" w:hAnsi="宋体" w:eastAsia="宋体" w:cs="宋体"/>
          <w:sz w:val="24"/>
          <w:szCs w:val="24"/>
          <w:highlight w:val="none"/>
        </w:rPr>
        <w:t>，并保证供货的完整性和满足安装、使用安全、可靠的要求。在现场安装、调试、试生产或生产过程中，如因设计缺陷、产品质量等</w:t>
      </w: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原因造成发生质量或安全事故，</w:t>
      </w: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rPr>
        <w:t>全部承担由此造成的损失和后果，</w:t>
      </w:r>
      <w:r>
        <w:rPr>
          <w:rFonts w:hint="eastAsia" w:ascii="宋体" w:hAnsi="宋体" w:eastAsia="宋体" w:cs="宋体"/>
          <w:sz w:val="24"/>
          <w:szCs w:val="24"/>
          <w:highlight w:val="none"/>
          <w:lang w:val="en-US" w:eastAsia="zh-CN"/>
        </w:rPr>
        <w:t>需方</w:t>
      </w:r>
      <w:r>
        <w:rPr>
          <w:rFonts w:hint="eastAsia" w:ascii="宋体" w:hAnsi="宋体" w:eastAsia="宋体" w:cs="宋体"/>
          <w:sz w:val="24"/>
          <w:szCs w:val="24"/>
          <w:highlight w:val="none"/>
        </w:rPr>
        <w:t>不承担任何责任。</w:t>
      </w:r>
    </w:p>
    <w:p>
      <w:pPr>
        <w:keepNext/>
        <w:keepLines/>
        <w:pageBreakBefore w:val="0"/>
        <w:widowControl/>
        <w:numPr>
          <w:ilvl w:val="0"/>
          <w:numId w:val="3"/>
        </w:numPr>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有责任对本</w:t>
      </w:r>
      <w:r>
        <w:rPr>
          <w:rFonts w:hint="eastAsia" w:ascii="宋体" w:hAnsi="宋体" w:eastAsia="宋体" w:cs="宋体"/>
          <w:sz w:val="24"/>
          <w:szCs w:val="24"/>
          <w:highlight w:val="none"/>
          <w:lang w:val="en-US" w:eastAsia="zh-CN"/>
        </w:rPr>
        <w:t>招标技术条件</w:t>
      </w:r>
      <w:r>
        <w:rPr>
          <w:rFonts w:hint="eastAsia" w:ascii="宋体" w:hAnsi="宋体" w:eastAsia="宋体" w:cs="宋体"/>
          <w:sz w:val="24"/>
          <w:szCs w:val="24"/>
          <w:highlight w:val="none"/>
        </w:rPr>
        <w:t>中的技术条款提出补充。若在</w:t>
      </w:r>
      <w:r>
        <w:rPr>
          <w:rFonts w:hint="eastAsia" w:ascii="宋体" w:hAnsi="宋体" w:eastAsia="宋体" w:cs="宋体"/>
          <w:sz w:val="24"/>
          <w:szCs w:val="24"/>
          <w:highlight w:val="none"/>
          <w:lang w:eastAsia="zh-CN"/>
        </w:rPr>
        <w:t>安装</w:t>
      </w:r>
      <w:r>
        <w:rPr>
          <w:rFonts w:hint="eastAsia" w:ascii="宋体" w:hAnsi="宋体" w:eastAsia="宋体" w:cs="宋体"/>
          <w:sz w:val="24"/>
          <w:szCs w:val="24"/>
          <w:highlight w:val="none"/>
        </w:rPr>
        <w:t>运行中发现缺项或不能满足规定的技术条款工作需要时，由</w:t>
      </w: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负责补齐且不得增加费用。</w:t>
      </w:r>
    </w:p>
    <w:p>
      <w:pPr>
        <w:keepNext/>
        <w:keepLines/>
        <w:pageBreakBefore w:val="0"/>
        <w:widowControl/>
        <w:numPr>
          <w:ilvl w:val="0"/>
          <w:numId w:val="3"/>
        </w:numPr>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技术条</w:t>
      </w:r>
      <w:r>
        <w:rPr>
          <w:rFonts w:hint="eastAsia" w:ascii="宋体" w:hAnsi="宋体" w:eastAsia="宋体" w:cs="宋体"/>
          <w:sz w:val="24"/>
          <w:szCs w:val="24"/>
          <w:highlight w:val="none"/>
          <w:lang w:val="en-US" w:eastAsia="zh-CN"/>
        </w:rPr>
        <w:t>件标的</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供方</w:t>
      </w:r>
      <w:r>
        <w:rPr>
          <w:rFonts w:hint="eastAsia" w:ascii="宋体" w:hAnsi="宋体" w:eastAsia="宋体" w:cs="宋体"/>
          <w:sz w:val="24"/>
          <w:szCs w:val="24"/>
          <w:highlight w:val="none"/>
        </w:rPr>
        <w:t>负责设计、制作、供货、运输、卸货、</w:t>
      </w:r>
      <w:r>
        <w:rPr>
          <w:rFonts w:hint="eastAsia" w:ascii="宋体" w:hAnsi="宋体" w:eastAsia="宋体" w:cs="宋体"/>
          <w:sz w:val="24"/>
          <w:szCs w:val="24"/>
          <w:highlight w:val="none"/>
          <w:lang w:eastAsia="zh-CN"/>
        </w:rPr>
        <w:t>安装</w:t>
      </w:r>
      <w:r>
        <w:rPr>
          <w:rFonts w:hint="eastAsia" w:ascii="宋体" w:hAnsi="宋体" w:eastAsia="宋体" w:cs="宋体"/>
          <w:sz w:val="24"/>
          <w:szCs w:val="24"/>
          <w:highlight w:val="none"/>
        </w:rPr>
        <w:t>调试直至最终交付使用。</w:t>
      </w:r>
    </w:p>
    <w:p>
      <w:pPr>
        <w:keepNext/>
        <w:keepLines/>
        <w:pageBreakBefore w:val="0"/>
        <w:widowControl/>
        <w:kinsoku/>
        <w:wordWrap/>
        <w:overflowPunct/>
        <w:topLinePunct w:val="0"/>
        <w:autoSpaceDE/>
        <w:autoSpaceDN/>
        <w:bidi w:val="0"/>
        <w:adjustRightInd/>
        <w:spacing w:line="360" w:lineRule="auto"/>
        <w:ind w:right="0" w:rightChars="0"/>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环境条件</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交通地理条件：</w:t>
      </w:r>
    </w:p>
    <w:p>
      <w:pPr>
        <w:pageBreakBefore w:val="0"/>
        <w:kinsoku/>
        <w:wordWrap/>
        <w:overflowPunct/>
        <w:topLinePunct w:val="0"/>
        <w:autoSpaceDE/>
        <w:autoSpaceDN/>
        <w:bidi w:val="0"/>
        <w:adjustRightInd/>
        <w:spacing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广西德保百矿铝业有限公司</w:t>
      </w:r>
      <w:r>
        <w:rPr>
          <w:rFonts w:hint="eastAsia" w:ascii="宋体" w:hAnsi="宋体" w:eastAsia="宋体" w:cs="宋体"/>
          <w:sz w:val="24"/>
          <w:szCs w:val="24"/>
        </w:rPr>
        <w:t>位于广西自治区德保县马隘工业园，德保县位于广西西南部，东与田东县接壤，西、南与靖西临界，北与田阳、百色毗邻。县城距离南宁市255km，距离百色市129km。马隘镇位于德保县北部，距德保县城7km。德保县境内有G69 银百高速、S210 线、S213 线省道贯穿全县，全县乡乡、村村通公路，项目厂址位于G69银百高速以西约10km，S210 线以北约3km，厂区与S210 线直接相连。百色至靖西高速公路经由德保境内。S210 公路在距离厂区约60km 的田东祥周有互通立交桥与南宁）昆（明）高速公路相通。田（东）德（保）铁路线已通车。工厂的对外交通条件优越。</w:t>
      </w:r>
    </w:p>
    <w:p>
      <w:pPr>
        <w:keepNext/>
        <w:keepLines/>
        <w:pageBreakBefore w:val="0"/>
        <w:widowControl/>
        <w:kinsoku/>
        <w:wordWrap/>
        <w:overflowPunct/>
        <w:topLinePunct w:val="0"/>
        <w:autoSpaceDE/>
        <w:autoSpaceDN/>
        <w:bidi w:val="0"/>
        <w:adjustRightInd/>
        <w:spacing w:line="36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  自然条件：</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——年平均气温        19.5℃</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最热月平均气温    25.7℃（7月）</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最冷月平均气温    11.1℃（1月）</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极端最高气温      37.1℃</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极端最低气温      -2.6℃</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年平均相对湿度    81%</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年平均降水量      1494.0mm</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日最大降水量      212.0mm</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年降水量集中在6～8月份，占总降水量的67%～73%</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年主导风向        东南风</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年平均风速        2.0m/s</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lang w:eastAsia="zh-CN"/>
        </w:rPr>
      </w:pPr>
      <w:r>
        <w:rPr>
          <w:rFonts w:hint="eastAsia" w:ascii="宋体" w:hAnsi="宋体" w:eastAsia="宋体" w:cs="宋体"/>
          <w:sz w:val="24"/>
          <w:szCs w:val="24"/>
        </w:rPr>
        <w:t>—— 瞬时最大风速      16.0m/s</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年平均日照        1403.1h</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年蒸发量          1298.9mm</w:t>
      </w:r>
    </w:p>
    <w:p>
      <w:pPr>
        <w:pageBreakBefore w:val="0"/>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 年平均雷暴天气    63d</w:t>
      </w:r>
    </w:p>
    <w:p>
      <w:pPr>
        <w:pageBreakBefore w:val="0"/>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highlight w:val="yellow"/>
        </w:rPr>
      </w:pPr>
      <w:r>
        <w:rPr>
          <w:rFonts w:hint="eastAsia" w:ascii="宋体" w:hAnsi="宋体" w:eastAsia="宋体" w:cs="宋体"/>
          <w:sz w:val="24"/>
          <w:szCs w:val="24"/>
        </w:rPr>
        <w:t>——磁场强度：         520GS</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——厂区海拔高度:    680m</w:t>
      </w:r>
    </w:p>
    <w:p>
      <w:pPr>
        <w:pageBreakBefore w:val="0"/>
        <w:widowControl/>
        <w:kinsoku/>
        <w:wordWrap/>
        <w:overflowPunct/>
        <w:topLinePunct w:val="0"/>
        <w:autoSpaceDE/>
        <w:autoSpaceDN/>
        <w:bidi w:val="0"/>
        <w:adjustRightInd/>
        <w:spacing w:line="360" w:lineRule="auto"/>
        <w:ind w:right="0" w:rightChars="0" w:firstLine="480"/>
        <w:jc w:val="left"/>
        <w:rPr>
          <w:rFonts w:hint="eastAsia" w:ascii="宋体" w:hAnsi="宋体" w:eastAsia="宋体" w:cs="宋体"/>
          <w:sz w:val="24"/>
          <w:szCs w:val="24"/>
        </w:rPr>
      </w:pPr>
      <w:r>
        <w:rPr>
          <w:rFonts w:hint="eastAsia" w:ascii="宋体" w:hAnsi="宋体" w:eastAsia="宋体" w:cs="宋体"/>
          <w:sz w:val="24"/>
          <w:szCs w:val="24"/>
        </w:rPr>
        <w:t>——地震烈度:      VI度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2.3供电条件：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供</w:t>
      </w:r>
      <w:r>
        <w:rPr>
          <w:rFonts w:hint="eastAsia" w:ascii="宋体" w:hAnsi="宋体" w:eastAsia="宋体" w:cs="宋体"/>
          <w:sz w:val="24"/>
          <w:szCs w:val="24"/>
          <w:lang w:val="en-US" w:eastAsia="zh-CN"/>
        </w:rPr>
        <w:t>电电源：</w:t>
      </w:r>
      <w:r>
        <w:rPr>
          <w:rFonts w:hint="eastAsia" w:ascii="宋体" w:hAnsi="宋体" w:eastAsia="宋体" w:cs="宋体"/>
          <w:sz w:val="24"/>
          <w:szCs w:val="24"/>
        </w:rPr>
        <w:t xml:space="preserve">AC </w:t>
      </w:r>
      <w:r>
        <w:rPr>
          <w:rFonts w:hint="eastAsia" w:ascii="宋体" w:hAnsi="宋体" w:cs="宋体"/>
          <w:sz w:val="24"/>
          <w:szCs w:val="24"/>
          <w:lang w:val="en-US" w:eastAsia="zh-CN"/>
        </w:rPr>
        <w:t>220V</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%），50HZ（±5%）</w:t>
      </w:r>
      <w:bookmarkEnd w:id="3"/>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主要供货范围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网络管理系统、准入系统</w:t>
      </w:r>
      <w:bookmarkStart w:id="4" w:name="_GoBack"/>
      <w:bookmarkEnd w:id="4"/>
      <w:r>
        <w:rPr>
          <w:rFonts w:hint="eastAsia" w:ascii="宋体" w:hAnsi="宋体" w:eastAsia="宋体" w:cs="宋体"/>
          <w:sz w:val="24"/>
          <w:szCs w:val="24"/>
          <w:lang w:val="en-US" w:eastAsia="zh-CN"/>
        </w:rPr>
        <w:t>（详细规格型号参数由供方提供）</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tbl>
      <w:tblPr>
        <w:tblStyle w:val="14"/>
        <w:tblW w:w="11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4"/>
        <w:gridCol w:w="1024"/>
        <w:gridCol w:w="3305"/>
        <w:gridCol w:w="655"/>
        <w:gridCol w:w="615"/>
        <w:gridCol w:w="2246"/>
        <w:gridCol w:w="3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jc w:val="center"/>
        </w:trPr>
        <w:tc>
          <w:tcPr>
            <w:tcW w:w="56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序号</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名称</w:t>
            </w:r>
          </w:p>
        </w:tc>
        <w:tc>
          <w:tcPr>
            <w:tcW w:w="330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i w:val="0"/>
                <w:iCs w:val="0"/>
                <w:snapToGrid w:val="0"/>
                <w:color w:val="000000"/>
                <w:kern w:val="0"/>
                <w:sz w:val="21"/>
                <w:szCs w:val="21"/>
                <w:u w:val="none"/>
                <w:lang w:val="en-US" w:eastAsia="zh-CN" w:bidi="ar"/>
              </w:rPr>
              <w:t>规格参数</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数量</w:t>
            </w:r>
          </w:p>
        </w:tc>
        <w:tc>
          <w:tcPr>
            <w:tcW w:w="2246"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备注</w:t>
            </w:r>
          </w:p>
        </w:tc>
        <w:tc>
          <w:tcPr>
            <w:tcW w:w="300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质保承诺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jc w:val="center"/>
        </w:trPr>
        <w:tc>
          <w:tcPr>
            <w:tcW w:w="56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网络管理系统</w:t>
            </w:r>
          </w:p>
        </w:tc>
        <w:tc>
          <w:tcPr>
            <w:tcW w:w="3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1、40个基础资源节点</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络+操作系统主机+数据库+中间件+标准应用+UPS+温湿度探头）、50个IP示意节点和40个服务器硬件监控授权包。2、产品主要功能包括：自定义监控首页、巡检管理、拓扑管理、日志管理、历史数据查看、网络设备和线路性能分析、服务器硬件管理、操作系统管理、数据库管理、中间件管理、标准应用管理、告警管理、报表管理。</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cs="宋体"/>
                <w:i w:val="0"/>
                <w:color w:val="000000" w:themeColor="text1"/>
                <w:kern w:val="0"/>
                <w:sz w:val="18"/>
                <w:szCs w:val="18"/>
                <w:highlight w:val="none"/>
                <w:u w:val="none"/>
                <w:lang w:val="en-US" w:eastAsia="zh-CN" w:bidi="ar"/>
                <w14:textFill>
                  <w14:solidFill>
                    <w14:schemeClr w14:val="tx1"/>
                  </w14:solidFill>
                </w14:textFill>
              </w:rPr>
              <w:t>套</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default" w:ascii="宋体" w:hAnsi="宋体" w:eastAsia="宋体" w:cs="宋体"/>
                <w:i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color w:val="000000" w:themeColor="text1"/>
                <w:sz w:val="18"/>
                <w:szCs w:val="18"/>
                <w:highlight w:val="none"/>
                <w:u w:val="none"/>
                <w:lang w:val="en-US" w:eastAsia="zh-CN"/>
                <w14:textFill>
                  <w14:solidFill>
                    <w14:schemeClr w14:val="tx1"/>
                  </w14:solidFill>
                </w14:textFill>
              </w:rPr>
              <w:t>1</w:t>
            </w:r>
          </w:p>
        </w:tc>
        <w:tc>
          <w:tcPr>
            <w:tcW w:w="2246" w:type="dxa"/>
            <w:vMerge w:val="restart"/>
            <w:tcBorders>
              <w:top w:val="single" w:color="000000" w:sz="4" w:space="0"/>
              <w:left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pPr>
          </w:p>
        </w:tc>
        <w:tc>
          <w:tcPr>
            <w:tcW w:w="3004" w:type="dxa"/>
            <w:vMerge w:val="restart"/>
            <w:tcBorders>
              <w:top w:val="single" w:color="000000" w:sz="4" w:space="0"/>
              <w:left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default"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highlight w:val="none"/>
                <w:u w:val="none"/>
                <w:lang w:val="en-US" w:eastAsia="zh-CN" w:bidi="ar"/>
                <w14:textFill>
                  <w14:solidFill>
                    <w14:schemeClr w14:val="tx1"/>
                  </w14:solidFill>
                </w14:textFill>
              </w:rPr>
              <w:t>整机质保3年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jc w:val="center"/>
        </w:trPr>
        <w:tc>
          <w:tcPr>
            <w:tcW w:w="56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eastAsia" w:ascii="宋体" w:hAnsi="宋体" w:eastAsia="宋体" w:cs="宋体"/>
                <w:b/>
                <w:bCs/>
                <w:i w:val="0"/>
                <w:color w:val="auto"/>
                <w:kern w:val="0"/>
                <w:sz w:val="18"/>
                <w:szCs w:val="18"/>
                <w:highlight w:val="none"/>
                <w:u w:val="none"/>
                <w:lang w:val="en-US" w:eastAsia="zh-CN" w:bidi="ar"/>
              </w:rPr>
            </w:pPr>
            <w:r>
              <w:rPr>
                <w:rFonts w:hint="eastAsia" w:ascii="宋体" w:hAnsi="宋体" w:eastAsia="宋体" w:cs="宋体"/>
                <w:b/>
                <w:bCs/>
                <w:i w:val="0"/>
                <w:color w:val="auto"/>
                <w:kern w:val="0"/>
                <w:sz w:val="18"/>
                <w:szCs w:val="18"/>
                <w:highlight w:val="none"/>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准入系统</w:t>
            </w:r>
          </w:p>
        </w:tc>
        <w:tc>
          <w:tcPr>
            <w:tcW w:w="3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持办公网、视频监控网、物联网等多种终端设备类型的混合网络场景，实现设备发现、合规评估、身份认证及入网控制等泛终端准入控制管理功能。整机建议支持500以下终端认证或600M网络流量处理能力。配置250个客户端授权。设备默认1个Console口，6个千兆电口，4TB 硬盘，单电源，1U设备。含36个月硬件质保服务（选配方式：控制中心+硬件引擎+网络准入授权数。</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default"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highlight w:val="none"/>
                <w:u w:val="none"/>
                <w:lang w:val="en-US" w:eastAsia="zh-CN" w:bidi="ar"/>
                <w14:textFill>
                  <w14:solidFill>
                    <w14:schemeClr w14:val="tx1"/>
                  </w14:solidFill>
                </w14:textFill>
              </w:rPr>
              <w:t>套</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default" w:ascii="宋体" w:hAnsi="宋体" w:eastAsia="宋体" w:cs="宋体"/>
                <w:i w:val="0"/>
                <w:color w:val="000000" w:themeColor="text1"/>
                <w:sz w:val="18"/>
                <w:szCs w:val="18"/>
                <w:highlight w:val="none"/>
                <w:u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w:t>
            </w:r>
          </w:p>
        </w:tc>
        <w:tc>
          <w:tcPr>
            <w:tcW w:w="2246" w:type="dxa"/>
            <w:vMerge w:val="continue"/>
            <w:tcBorders>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pPr>
          </w:p>
        </w:tc>
        <w:tc>
          <w:tcPr>
            <w:tcW w:w="3004" w:type="dxa"/>
            <w:vMerge w:val="continue"/>
            <w:tcBorders>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eastAsia" w:ascii="宋体" w:hAnsi="宋体" w:eastAsia="宋体" w:cs="宋体"/>
                <w:i w:val="0"/>
                <w:color w:val="000000" w:themeColor="text1"/>
                <w:sz w:val="18"/>
                <w:szCs w:val="1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56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default" w:ascii="宋体" w:hAnsi="宋体" w:eastAsia="宋体" w:cs="宋体"/>
                <w:b/>
                <w:bCs/>
                <w:i w:val="0"/>
                <w:color w:val="auto"/>
                <w:kern w:val="0"/>
                <w:sz w:val="18"/>
                <w:szCs w:val="18"/>
                <w:highlight w:val="none"/>
                <w:u w:val="none"/>
                <w:lang w:val="en-US" w:eastAsia="zh-CN" w:bidi="ar"/>
              </w:rPr>
            </w:pPr>
            <w:r>
              <w:rPr>
                <w:rFonts w:hint="eastAsia" w:ascii="宋体" w:hAnsi="宋体" w:cs="宋体"/>
                <w:b/>
                <w:bCs/>
                <w:i w:val="0"/>
                <w:color w:val="auto"/>
                <w:kern w:val="0"/>
                <w:sz w:val="18"/>
                <w:szCs w:val="18"/>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深信服AF防火墙VPN授权</w:t>
            </w:r>
          </w:p>
        </w:tc>
        <w:tc>
          <w:tcPr>
            <w:tcW w:w="3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SSL VPN接入授权（每增加1个SSL接入许可）</w:t>
            </w:r>
          </w:p>
        </w:tc>
        <w:tc>
          <w:tcPr>
            <w:tcW w:w="65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default"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highlight w:val="none"/>
                <w:u w:val="none"/>
                <w:lang w:val="en-US" w:eastAsia="zh-CN" w:bidi="ar"/>
                <w14:textFill>
                  <w14:solidFill>
                    <w14:schemeClr w14:val="tx1"/>
                  </w14:solidFill>
                </w14:textFill>
              </w:rPr>
              <w:t>个</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default" w:ascii="宋体" w:hAnsi="宋体" w:eastAsia="宋体" w:cs="宋体"/>
                <w:i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20</w:t>
            </w:r>
          </w:p>
        </w:tc>
        <w:tc>
          <w:tcPr>
            <w:tcW w:w="2246"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pPr>
          </w:p>
        </w:tc>
        <w:tc>
          <w:tcPr>
            <w:tcW w:w="300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eastAsia" w:ascii="宋体" w:hAnsi="宋体" w:eastAsia="宋体" w:cs="宋体"/>
                <w:i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56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360" w:lineRule="auto"/>
              <w:ind w:right="0" w:rightChars="0"/>
              <w:jc w:val="center"/>
              <w:textAlignment w:val="center"/>
              <w:rPr>
                <w:rFonts w:hint="default" w:ascii="宋体" w:hAnsi="宋体" w:cs="宋体"/>
                <w:b/>
                <w:bCs/>
                <w:i w:val="0"/>
                <w:color w:val="auto"/>
                <w:kern w:val="0"/>
                <w:sz w:val="18"/>
                <w:szCs w:val="18"/>
                <w:highlight w:val="none"/>
                <w:u w:val="none"/>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3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default" w:ascii="宋体" w:hAnsi="宋体" w:cs="宋体"/>
                <w:i w:val="0"/>
                <w:color w:val="000000" w:themeColor="text1"/>
                <w:kern w:val="0"/>
                <w:sz w:val="18"/>
                <w:szCs w:val="18"/>
                <w:highlight w:val="none"/>
                <w:u w:val="none"/>
                <w:lang w:val="en-US" w:eastAsia="zh-CN" w:bidi="ar"/>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default" w:ascii="宋体" w:hAnsi="宋体" w:cs="宋体"/>
                <w:color w:val="000000" w:themeColor="text1"/>
                <w:sz w:val="18"/>
                <w:szCs w:val="18"/>
                <w:highlight w:val="none"/>
                <w:lang w:val="en-US" w:eastAsia="zh-CN"/>
                <w14:textFill>
                  <w14:solidFill>
                    <w14:schemeClr w14:val="tx1"/>
                  </w14:solidFill>
                </w14:textFill>
              </w:rPr>
            </w:pPr>
          </w:p>
        </w:tc>
        <w:tc>
          <w:tcPr>
            <w:tcW w:w="2246"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pPr>
          </w:p>
        </w:tc>
        <w:tc>
          <w:tcPr>
            <w:tcW w:w="3004"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autoSpaceDN/>
              <w:bidi w:val="0"/>
              <w:adjustRightInd/>
              <w:spacing w:line="360" w:lineRule="auto"/>
              <w:ind w:right="0" w:rightChars="0"/>
              <w:jc w:val="center"/>
              <w:rPr>
                <w:rFonts w:hint="eastAsia" w:ascii="宋体" w:hAnsi="宋体" w:eastAsia="宋体" w:cs="宋体"/>
                <w:i w:val="0"/>
                <w:color w:val="000000" w:themeColor="text1"/>
                <w:kern w:val="2"/>
                <w:sz w:val="18"/>
                <w:szCs w:val="18"/>
                <w:highlight w:val="none"/>
                <w:u w:val="none"/>
                <w:lang w:val="en-US" w:eastAsia="zh-CN" w:bidi="ar-SA"/>
                <w14:textFill>
                  <w14:solidFill>
                    <w14:schemeClr w14:val="tx1"/>
                  </w14:solidFill>
                </w14:textFill>
              </w:rPr>
            </w:pPr>
          </w:p>
        </w:tc>
      </w:tr>
    </w:tbl>
    <w:p>
      <w:pPr>
        <w:rPr>
          <w:rFonts w:hint="eastAsia" w:ascii="宋体" w:hAnsi="宋体" w:eastAsia="宋体" w:cs="宋体"/>
          <w:sz w:val="24"/>
          <w:szCs w:val="24"/>
          <w:lang w:val="en-US" w:eastAsia="zh-CN"/>
        </w:rPr>
      </w:pPr>
    </w:p>
    <w:p>
      <w:pPr>
        <w:pStyle w:val="7"/>
        <w:keepNext/>
        <w:keepLines/>
        <w:pageBreakBefore w:val="0"/>
        <w:widowControl/>
        <w:numPr>
          <w:ilvl w:val="0"/>
          <w:numId w:val="4"/>
        </w:numPr>
        <w:kinsoku/>
        <w:wordWrap/>
        <w:overflowPunct/>
        <w:topLinePunct w:val="0"/>
        <w:autoSpaceDE/>
        <w:autoSpaceDN/>
        <w:bidi w:val="0"/>
        <w:adjustRightInd/>
        <w:snapToGrid w:val="0"/>
        <w:spacing w:after="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设备主要技术参数及要求</w:t>
      </w:r>
    </w:p>
    <w:p>
      <w:pPr>
        <w:keepNext/>
        <w:keepLines/>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4.1</w:t>
      </w:r>
      <w:r>
        <w:rPr>
          <w:rFonts w:hint="eastAsia" w:ascii="宋体" w:hAnsi="宋体" w:cs="宋体"/>
          <w:b/>
          <w:bCs w:val="0"/>
          <w:sz w:val="24"/>
          <w:szCs w:val="24"/>
          <w:highlight w:val="none"/>
          <w:lang w:val="en-US" w:eastAsia="zh-CN"/>
        </w:rPr>
        <w:t>网络管理系统、准入系统技术要求</w:t>
      </w:r>
    </w:p>
    <w:p>
      <w:pPr>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工程条件</w:t>
      </w:r>
    </w:p>
    <w:p>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使用场所：</w:t>
      </w:r>
      <w:r>
        <w:rPr>
          <w:rFonts w:hint="eastAsia" w:ascii="宋体" w:hAnsi="宋体" w:cs="宋体"/>
          <w:b w:val="0"/>
          <w:bCs/>
          <w:sz w:val="24"/>
          <w:szCs w:val="24"/>
          <w:highlight w:val="none"/>
          <w:lang w:val="en-US" w:eastAsia="zh-CN"/>
        </w:rPr>
        <w:t>机房</w:t>
      </w:r>
      <w:r>
        <w:rPr>
          <w:rFonts w:hint="eastAsia" w:ascii="宋体" w:hAnsi="宋体" w:eastAsia="宋体" w:cs="宋体"/>
          <w:b w:val="0"/>
          <w:bCs/>
          <w:sz w:val="24"/>
          <w:szCs w:val="24"/>
          <w:highlight w:val="none"/>
        </w:rPr>
        <w:t>。</w:t>
      </w:r>
    </w:p>
    <w:p>
      <w:pPr>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 xml:space="preserve">    安装方式：</w:t>
      </w:r>
      <w:r>
        <w:rPr>
          <w:rFonts w:hint="eastAsia" w:ascii="宋体" w:hAnsi="宋体" w:cs="宋体"/>
          <w:b w:val="0"/>
          <w:bCs/>
          <w:sz w:val="24"/>
          <w:szCs w:val="24"/>
          <w:highlight w:val="none"/>
          <w:lang w:val="en-US" w:eastAsia="zh-CN"/>
        </w:rPr>
        <w:t>机柜内安装</w:t>
      </w:r>
      <w:r>
        <w:rPr>
          <w:rFonts w:hint="eastAsia" w:ascii="宋体" w:hAnsi="宋体" w:eastAsia="宋体" w:cs="宋体"/>
          <w:b w:val="0"/>
          <w:bCs/>
          <w:sz w:val="24"/>
          <w:szCs w:val="24"/>
          <w:highlight w:val="none"/>
          <w:lang w:eastAsia="zh-CN"/>
        </w:rPr>
        <w:t>。</w:t>
      </w:r>
    </w:p>
    <w:bookmarkEnd w:id="0"/>
    <w:bookmarkEnd w:id="1"/>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五、执行标准与规范 </w:t>
      </w: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pacing w:line="36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设备设计、制造、施工及验收应遵循国家现行的最新相应标准 、规范，并满足国家有关标准、法律、法规。</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六、安装及调试</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6.1供方提供的设备必须是完整的、全新的、技术先进且成熟的、质量可靠的产品,最终性能达到技术条件中工艺描述、配置的有关要求和国家相关标准。</w:t>
      </w:r>
    </w:p>
    <w:p>
      <w:pPr>
        <w:pageBreakBefore w:val="0"/>
        <w:kinsoku/>
        <w:wordWrap/>
        <w:overflowPunct/>
        <w:topLinePunct w:val="0"/>
        <w:autoSpaceDE/>
        <w:autoSpaceDN/>
        <w:bidi w:val="0"/>
        <w:adjustRightInd/>
        <w:spacing w:line="360" w:lineRule="auto"/>
        <w:ind w:right="0" w:rightChars="0"/>
        <w:rPr>
          <w:rFonts w:hint="default" w:eastAsia="宋体"/>
          <w:lang w:val="en-US" w:eastAsia="zh-CN"/>
        </w:rPr>
      </w:pPr>
      <w:r>
        <w:rPr>
          <w:rFonts w:hint="eastAsia" w:ascii="宋体" w:hAnsi="宋体" w:eastAsia="宋体" w:cs="宋体"/>
          <w:sz w:val="24"/>
          <w:szCs w:val="24"/>
          <w:highlight w:val="none"/>
        </w:rPr>
        <w:t>6.2设备到达需方现场后，供方应在接到需方通知</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天内派人进行设备安装调试，按各阶段具体工作的安排和实施，及时解决出现的质量问题。</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七、质保期及售后服务</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7.1质量保证期：</w:t>
      </w:r>
      <w:r>
        <w:rPr>
          <w:rFonts w:hint="eastAsia" w:ascii="宋体" w:hAnsi="宋体" w:cs="宋体"/>
          <w:sz w:val="24"/>
          <w:szCs w:val="24"/>
          <w:highlight w:val="none"/>
          <w:lang w:val="en-US" w:eastAsia="zh-CN"/>
        </w:rPr>
        <w:t>压缩机</w:t>
      </w:r>
      <w:r>
        <w:rPr>
          <w:rFonts w:hint="eastAsia" w:ascii="宋体" w:hAnsi="宋体" w:eastAsia="宋体" w:cs="宋体"/>
          <w:sz w:val="24"/>
          <w:szCs w:val="24"/>
          <w:highlight w:val="none"/>
        </w:rPr>
        <w:t>质保期</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室外机其他元件及室内机整机质保期2年</w:t>
      </w:r>
      <w:r>
        <w:rPr>
          <w:rFonts w:hint="eastAsia" w:ascii="宋体" w:hAnsi="宋体" w:eastAsia="宋体" w:cs="宋体"/>
          <w:sz w:val="24"/>
          <w:szCs w:val="24"/>
          <w:highlight w:val="none"/>
        </w:rPr>
        <w:t>；从设备安装调试验收合格之日起计算，在产品质量保期内，因供方制造所产生的产品质量问题，由供方免费负责修理、更换。</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7.2设备安装调试并完成验收合格之日起算，</w:t>
      </w:r>
      <w:r>
        <w:rPr>
          <w:rFonts w:hint="eastAsia" w:ascii="宋体" w:hAnsi="宋体" w:cs="宋体"/>
          <w:sz w:val="24"/>
          <w:szCs w:val="24"/>
          <w:highlight w:val="none"/>
          <w:lang w:val="en-US" w:eastAsia="zh-CN"/>
        </w:rPr>
        <w:t>整机</w:t>
      </w:r>
      <w:r>
        <w:rPr>
          <w:rFonts w:hint="eastAsia" w:ascii="宋体" w:hAnsi="宋体" w:eastAsia="宋体" w:cs="宋体"/>
          <w:sz w:val="24"/>
          <w:szCs w:val="24"/>
          <w:highlight w:val="none"/>
        </w:rPr>
        <w:t>设备质保期为</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年，在产品质量保证期内，因供方提供的设备存在问题，由供方免费负责修理、更换。从设备投运开始之日起，在质保期内供方将根据需方的要求，进行服务，并将定期进行质量走访。</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7.3质保期后，需方应保证备品备件及易损件的长期价格优惠供应和优质的售后服务。</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7.4设备如发生质量问题，供方接到需方通知24小时内方派人到达现场负责免费维修，特殊情况不得超过</w:t>
      </w: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rPr>
        <w:t>小时。若非需方原因造成的的质量问题，并如由此造成的损失，供方须按合同有关条款向需方进行赔偿。</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八、供货时间及地点</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8.1交货时间：合同签订后1个月内到货。</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8.2交货地点：广西德保百矿铝业有限公司指定地点。</w:t>
      </w:r>
    </w:p>
    <w:sectPr>
      <w:footerReference r:id="rId3" w:type="default"/>
      <w:pgSz w:w="11906" w:h="16838"/>
      <w:pgMar w:top="1134" w:right="1389" w:bottom="1134" w:left="1361" w:header="720" w:footer="720" w:gutter="0"/>
      <w:pgNumType w:fmt="decimal"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FF215"/>
    <w:multiLevelType w:val="singleLevel"/>
    <w:tmpl w:val="B09FF215"/>
    <w:lvl w:ilvl="0" w:tentative="0">
      <w:start w:val="4"/>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lvlText w:val="1.%1"/>
      <w:lvlJc w:val="left"/>
      <w:pPr>
        <w:tabs>
          <w:tab w:val="left" w:pos="420"/>
        </w:tabs>
        <w:ind w:left="425" w:hanging="425"/>
      </w:pPr>
      <w:rPr>
        <w:rFonts w:hint="default"/>
      </w:rPr>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YTEwMGY4NmIyZjA1ZDdmMDU5OTZiMjUwOWRmMzkifQ=="/>
  </w:docVars>
  <w:rsids>
    <w:rsidRoot w:val="7F6939B0"/>
    <w:rsid w:val="00397AB1"/>
    <w:rsid w:val="010945E8"/>
    <w:rsid w:val="012748B0"/>
    <w:rsid w:val="012D260C"/>
    <w:rsid w:val="01427BCC"/>
    <w:rsid w:val="020B7BFA"/>
    <w:rsid w:val="028547AF"/>
    <w:rsid w:val="031C259A"/>
    <w:rsid w:val="03812AD8"/>
    <w:rsid w:val="0385077C"/>
    <w:rsid w:val="03986504"/>
    <w:rsid w:val="03DF44EC"/>
    <w:rsid w:val="041967E3"/>
    <w:rsid w:val="058732BE"/>
    <w:rsid w:val="05EC5CE4"/>
    <w:rsid w:val="063B15BD"/>
    <w:rsid w:val="0647205F"/>
    <w:rsid w:val="06A92A55"/>
    <w:rsid w:val="06C9158F"/>
    <w:rsid w:val="07835B29"/>
    <w:rsid w:val="07A81AF1"/>
    <w:rsid w:val="07BC0B2E"/>
    <w:rsid w:val="07BC2CBB"/>
    <w:rsid w:val="07F91C44"/>
    <w:rsid w:val="08186C13"/>
    <w:rsid w:val="084432C4"/>
    <w:rsid w:val="08DD6521"/>
    <w:rsid w:val="08EA3D79"/>
    <w:rsid w:val="09037417"/>
    <w:rsid w:val="09095B27"/>
    <w:rsid w:val="097434DE"/>
    <w:rsid w:val="097962E7"/>
    <w:rsid w:val="09870EBE"/>
    <w:rsid w:val="09B23806"/>
    <w:rsid w:val="09D738EB"/>
    <w:rsid w:val="0A231DA7"/>
    <w:rsid w:val="0A674B07"/>
    <w:rsid w:val="0AB74CDB"/>
    <w:rsid w:val="0B4B5F95"/>
    <w:rsid w:val="0BE44085"/>
    <w:rsid w:val="0BEE7E31"/>
    <w:rsid w:val="0C2C4B68"/>
    <w:rsid w:val="0C3D5922"/>
    <w:rsid w:val="0C7D35AD"/>
    <w:rsid w:val="0CB9000C"/>
    <w:rsid w:val="0CCB6F53"/>
    <w:rsid w:val="0CD13BE6"/>
    <w:rsid w:val="0D0F751B"/>
    <w:rsid w:val="0D116F43"/>
    <w:rsid w:val="0DF732AB"/>
    <w:rsid w:val="0E3F0F04"/>
    <w:rsid w:val="0ED90E0C"/>
    <w:rsid w:val="0EDA3F0C"/>
    <w:rsid w:val="0F0C7B86"/>
    <w:rsid w:val="0F182E74"/>
    <w:rsid w:val="0F2C3D93"/>
    <w:rsid w:val="0F4207E0"/>
    <w:rsid w:val="0F8D73AE"/>
    <w:rsid w:val="0FA17195"/>
    <w:rsid w:val="0FA97C97"/>
    <w:rsid w:val="0FC35AA0"/>
    <w:rsid w:val="10467AD0"/>
    <w:rsid w:val="104923E1"/>
    <w:rsid w:val="10545213"/>
    <w:rsid w:val="11130DB8"/>
    <w:rsid w:val="112447FF"/>
    <w:rsid w:val="11B6495A"/>
    <w:rsid w:val="11EB15D3"/>
    <w:rsid w:val="12754B61"/>
    <w:rsid w:val="12BF4DA0"/>
    <w:rsid w:val="12D776F2"/>
    <w:rsid w:val="12F36E69"/>
    <w:rsid w:val="130629AB"/>
    <w:rsid w:val="1309206A"/>
    <w:rsid w:val="134C4D14"/>
    <w:rsid w:val="138C767E"/>
    <w:rsid w:val="140B1524"/>
    <w:rsid w:val="14264C2E"/>
    <w:rsid w:val="142A5E28"/>
    <w:rsid w:val="14892BFC"/>
    <w:rsid w:val="14982147"/>
    <w:rsid w:val="14C75DEB"/>
    <w:rsid w:val="152C0D1B"/>
    <w:rsid w:val="154F4698"/>
    <w:rsid w:val="158B788A"/>
    <w:rsid w:val="15C97894"/>
    <w:rsid w:val="16174236"/>
    <w:rsid w:val="162760C2"/>
    <w:rsid w:val="1629502C"/>
    <w:rsid w:val="163F3171"/>
    <w:rsid w:val="169F3CE0"/>
    <w:rsid w:val="16C76C68"/>
    <w:rsid w:val="17014416"/>
    <w:rsid w:val="17416E57"/>
    <w:rsid w:val="17440CFD"/>
    <w:rsid w:val="17463206"/>
    <w:rsid w:val="17557A57"/>
    <w:rsid w:val="1775666E"/>
    <w:rsid w:val="17B06AF3"/>
    <w:rsid w:val="1814437A"/>
    <w:rsid w:val="185A24AB"/>
    <w:rsid w:val="1A475121"/>
    <w:rsid w:val="1A4D3A68"/>
    <w:rsid w:val="1A7614FD"/>
    <w:rsid w:val="1A94380E"/>
    <w:rsid w:val="1AA37597"/>
    <w:rsid w:val="1B8827C3"/>
    <w:rsid w:val="1B925E62"/>
    <w:rsid w:val="1BA204B4"/>
    <w:rsid w:val="1BD94D43"/>
    <w:rsid w:val="1BF32452"/>
    <w:rsid w:val="1C1C5ADA"/>
    <w:rsid w:val="1C722ED2"/>
    <w:rsid w:val="1CB511A6"/>
    <w:rsid w:val="1CB877EF"/>
    <w:rsid w:val="1D6E4692"/>
    <w:rsid w:val="1DBF7B4A"/>
    <w:rsid w:val="1E062FA0"/>
    <w:rsid w:val="1E3E41FB"/>
    <w:rsid w:val="1E4324F2"/>
    <w:rsid w:val="1EE351C5"/>
    <w:rsid w:val="1EF36873"/>
    <w:rsid w:val="1F193778"/>
    <w:rsid w:val="1FAE2F03"/>
    <w:rsid w:val="1FB11D1B"/>
    <w:rsid w:val="1FBA3212"/>
    <w:rsid w:val="1FDB44E4"/>
    <w:rsid w:val="1FE12579"/>
    <w:rsid w:val="202574F9"/>
    <w:rsid w:val="20402985"/>
    <w:rsid w:val="20D67E84"/>
    <w:rsid w:val="21283EBD"/>
    <w:rsid w:val="212F0CE4"/>
    <w:rsid w:val="2148509B"/>
    <w:rsid w:val="2179422B"/>
    <w:rsid w:val="21DB302A"/>
    <w:rsid w:val="220378C6"/>
    <w:rsid w:val="22071193"/>
    <w:rsid w:val="22930439"/>
    <w:rsid w:val="233F68F2"/>
    <w:rsid w:val="23484763"/>
    <w:rsid w:val="234D3B3D"/>
    <w:rsid w:val="23514845"/>
    <w:rsid w:val="237A08CB"/>
    <w:rsid w:val="23C16CA3"/>
    <w:rsid w:val="23D9398E"/>
    <w:rsid w:val="23F75EFF"/>
    <w:rsid w:val="240A5016"/>
    <w:rsid w:val="241019FF"/>
    <w:rsid w:val="24427FF5"/>
    <w:rsid w:val="249709E8"/>
    <w:rsid w:val="24A45A7B"/>
    <w:rsid w:val="24A92933"/>
    <w:rsid w:val="24D7316D"/>
    <w:rsid w:val="25104DF1"/>
    <w:rsid w:val="252D762E"/>
    <w:rsid w:val="256A5FB2"/>
    <w:rsid w:val="259A1E94"/>
    <w:rsid w:val="25AC5E3F"/>
    <w:rsid w:val="25BE1919"/>
    <w:rsid w:val="261551D2"/>
    <w:rsid w:val="262D1046"/>
    <w:rsid w:val="263229EA"/>
    <w:rsid w:val="26787B21"/>
    <w:rsid w:val="2686148F"/>
    <w:rsid w:val="26A73D40"/>
    <w:rsid w:val="26AD5391"/>
    <w:rsid w:val="26D24FAC"/>
    <w:rsid w:val="271248C2"/>
    <w:rsid w:val="272A7822"/>
    <w:rsid w:val="27734230"/>
    <w:rsid w:val="282166A8"/>
    <w:rsid w:val="283048A2"/>
    <w:rsid w:val="28310CCB"/>
    <w:rsid w:val="28423291"/>
    <w:rsid w:val="287E1A38"/>
    <w:rsid w:val="28E41C06"/>
    <w:rsid w:val="293252CF"/>
    <w:rsid w:val="29AF4221"/>
    <w:rsid w:val="29D152FA"/>
    <w:rsid w:val="29DE45F8"/>
    <w:rsid w:val="29E845E6"/>
    <w:rsid w:val="2A13108F"/>
    <w:rsid w:val="2A1767B0"/>
    <w:rsid w:val="2A4A5AAC"/>
    <w:rsid w:val="2A853A1F"/>
    <w:rsid w:val="2AD44EEF"/>
    <w:rsid w:val="2AE71587"/>
    <w:rsid w:val="2B656A1C"/>
    <w:rsid w:val="2B900A6D"/>
    <w:rsid w:val="2BA85D1F"/>
    <w:rsid w:val="2BC0321D"/>
    <w:rsid w:val="2BE47245"/>
    <w:rsid w:val="2C011B24"/>
    <w:rsid w:val="2C0E3672"/>
    <w:rsid w:val="2C3B6515"/>
    <w:rsid w:val="2C5B56AB"/>
    <w:rsid w:val="2C967B09"/>
    <w:rsid w:val="2CED2932"/>
    <w:rsid w:val="2CF52A5A"/>
    <w:rsid w:val="2D346C0B"/>
    <w:rsid w:val="2D4535BB"/>
    <w:rsid w:val="2D7B6290"/>
    <w:rsid w:val="2D7B7183"/>
    <w:rsid w:val="2DAD50B1"/>
    <w:rsid w:val="2DCA3B7B"/>
    <w:rsid w:val="2DD6395A"/>
    <w:rsid w:val="2E9F2BF1"/>
    <w:rsid w:val="2EE44C58"/>
    <w:rsid w:val="2F2D0E84"/>
    <w:rsid w:val="30027572"/>
    <w:rsid w:val="30125A66"/>
    <w:rsid w:val="30965B2A"/>
    <w:rsid w:val="30E07EB2"/>
    <w:rsid w:val="30EB2044"/>
    <w:rsid w:val="30EF3A47"/>
    <w:rsid w:val="30F25021"/>
    <w:rsid w:val="30F31F7F"/>
    <w:rsid w:val="30F541D3"/>
    <w:rsid w:val="318121F0"/>
    <w:rsid w:val="318D1367"/>
    <w:rsid w:val="31E66BC7"/>
    <w:rsid w:val="31FA0683"/>
    <w:rsid w:val="321C46CB"/>
    <w:rsid w:val="325E1145"/>
    <w:rsid w:val="326777C2"/>
    <w:rsid w:val="327E33E5"/>
    <w:rsid w:val="32952EDA"/>
    <w:rsid w:val="32E127E2"/>
    <w:rsid w:val="33034812"/>
    <w:rsid w:val="333A1A4F"/>
    <w:rsid w:val="33663440"/>
    <w:rsid w:val="33AB3412"/>
    <w:rsid w:val="33B73AB5"/>
    <w:rsid w:val="33E81DE5"/>
    <w:rsid w:val="33E92ACD"/>
    <w:rsid w:val="340179AA"/>
    <w:rsid w:val="341C4890"/>
    <w:rsid w:val="345B303A"/>
    <w:rsid w:val="34A113AD"/>
    <w:rsid w:val="35127F87"/>
    <w:rsid w:val="351B6FC3"/>
    <w:rsid w:val="35715C10"/>
    <w:rsid w:val="35933EBB"/>
    <w:rsid w:val="35A33DF8"/>
    <w:rsid w:val="361179F4"/>
    <w:rsid w:val="36E7186D"/>
    <w:rsid w:val="36EF0FF5"/>
    <w:rsid w:val="370C0CD8"/>
    <w:rsid w:val="372301BE"/>
    <w:rsid w:val="377D4DBC"/>
    <w:rsid w:val="37925B66"/>
    <w:rsid w:val="38355133"/>
    <w:rsid w:val="38EA0B40"/>
    <w:rsid w:val="38EC23FE"/>
    <w:rsid w:val="38F3020F"/>
    <w:rsid w:val="38F51593"/>
    <w:rsid w:val="38FD4905"/>
    <w:rsid w:val="39224595"/>
    <w:rsid w:val="39D612FB"/>
    <w:rsid w:val="3A167BF5"/>
    <w:rsid w:val="3A4A34A8"/>
    <w:rsid w:val="3A7C2322"/>
    <w:rsid w:val="3ABD0CA6"/>
    <w:rsid w:val="3AC550D2"/>
    <w:rsid w:val="3ADF61EB"/>
    <w:rsid w:val="3AE91BD1"/>
    <w:rsid w:val="3AF54F59"/>
    <w:rsid w:val="3B0F6A47"/>
    <w:rsid w:val="3B6E5485"/>
    <w:rsid w:val="3C5A54CE"/>
    <w:rsid w:val="3C6D14BD"/>
    <w:rsid w:val="3CCD3524"/>
    <w:rsid w:val="3D016603"/>
    <w:rsid w:val="3D3F566A"/>
    <w:rsid w:val="3D90704F"/>
    <w:rsid w:val="3D985FBA"/>
    <w:rsid w:val="3DC11BFE"/>
    <w:rsid w:val="3E342B08"/>
    <w:rsid w:val="3E8C7D9C"/>
    <w:rsid w:val="3E932C62"/>
    <w:rsid w:val="3EB95CBF"/>
    <w:rsid w:val="3EDC0C43"/>
    <w:rsid w:val="3EF57AF0"/>
    <w:rsid w:val="3F4A2C5E"/>
    <w:rsid w:val="3FA06C9B"/>
    <w:rsid w:val="3FAD3721"/>
    <w:rsid w:val="40037034"/>
    <w:rsid w:val="40551BFF"/>
    <w:rsid w:val="409C145B"/>
    <w:rsid w:val="40BD09B9"/>
    <w:rsid w:val="411A3517"/>
    <w:rsid w:val="414B5F0D"/>
    <w:rsid w:val="417E6F65"/>
    <w:rsid w:val="41944F76"/>
    <w:rsid w:val="41E134D7"/>
    <w:rsid w:val="424E03B7"/>
    <w:rsid w:val="4256470E"/>
    <w:rsid w:val="4291305B"/>
    <w:rsid w:val="429D5BAC"/>
    <w:rsid w:val="4315252F"/>
    <w:rsid w:val="439A1433"/>
    <w:rsid w:val="43B64D6D"/>
    <w:rsid w:val="43EF0BF5"/>
    <w:rsid w:val="446A3942"/>
    <w:rsid w:val="447A4140"/>
    <w:rsid w:val="44BF5949"/>
    <w:rsid w:val="44DF626B"/>
    <w:rsid w:val="44E669B0"/>
    <w:rsid w:val="453D6343"/>
    <w:rsid w:val="4549275E"/>
    <w:rsid w:val="45A6032C"/>
    <w:rsid w:val="45D1430A"/>
    <w:rsid w:val="46031326"/>
    <w:rsid w:val="460552A2"/>
    <w:rsid w:val="46203A84"/>
    <w:rsid w:val="463B785E"/>
    <w:rsid w:val="468D5D85"/>
    <w:rsid w:val="47150CB5"/>
    <w:rsid w:val="471D3E56"/>
    <w:rsid w:val="474C6414"/>
    <w:rsid w:val="4762334B"/>
    <w:rsid w:val="476E434E"/>
    <w:rsid w:val="47832044"/>
    <w:rsid w:val="479C5451"/>
    <w:rsid w:val="48047603"/>
    <w:rsid w:val="480D77D0"/>
    <w:rsid w:val="48F47279"/>
    <w:rsid w:val="49A308DF"/>
    <w:rsid w:val="49A94013"/>
    <w:rsid w:val="49B04AE1"/>
    <w:rsid w:val="49FA3F71"/>
    <w:rsid w:val="4A124CDA"/>
    <w:rsid w:val="4A1C235D"/>
    <w:rsid w:val="4A3127A9"/>
    <w:rsid w:val="4A370C29"/>
    <w:rsid w:val="4A526FE7"/>
    <w:rsid w:val="4A59278E"/>
    <w:rsid w:val="4A7B36CF"/>
    <w:rsid w:val="4A9B2C69"/>
    <w:rsid w:val="4ABA0808"/>
    <w:rsid w:val="4ACB1A3F"/>
    <w:rsid w:val="4AF86144"/>
    <w:rsid w:val="4B0B2D31"/>
    <w:rsid w:val="4B0B503B"/>
    <w:rsid w:val="4BA21C64"/>
    <w:rsid w:val="4BA82C04"/>
    <w:rsid w:val="4BB70087"/>
    <w:rsid w:val="4BFA5987"/>
    <w:rsid w:val="4C1F3BD3"/>
    <w:rsid w:val="4C262D9C"/>
    <w:rsid w:val="4C357B8A"/>
    <w:rsid w:val="4C917347"/>
    <w:rsid w:val="4CAC1360"/>
    <w:rsid w:val="4CAF7DFC"/>
    <w:rsid w:val="4D1469B7"/>
    <w:rsid w:val="4D403AF0"/>
    <w:rsid w:val="4DD40BD5"/>
    <w:rsid w:val="4DE96C6A"/>
    <w:rsid w:val="4DF61238"/>
    <w:rsid w:val="4E035FEB"/>
    <w:rsid w:val="4E6F0A02"/>
    <w:rsid w:val="4EA461BF"/>
    <w:rsid w:val="4F817041"/>
    <w:rsid w:val="4FC27320"/>
    <w:rsid w:val="5097117E"/>
    <w:rsid w:val="50C110BE"/>
    <w:rsid w:val="511044EF"/>
    <w:rsid w:val="518538D1"/>
    <w:rsid w:val="53052FBC"/>
    <w:rsid w:val="533B6DB2"/>
    <w:rsid w:val="53703BFA"/>
    <w:rsid w:val="54000A2D"/>
    <w:rsid w:val="54491AE1"/>
    <w:rsid w:val="547549F3"/>
    <w:rsid w:val="54824C28"/>
    <w:rsid w:val="54900410"/>
    <w:rsid w:val="549D785B"/>
    <w:rsid w:val="54CF7208"/>
    <w:rsid w:val="54F20A3E"/>
    <w:rsid w:val="55072A0C"/>
    <w:rsid w:val="551B21AA"/>
    <w:rsid w:val="552F62EF"/>
    <w:rsid w:val="555056B8"/>
    <w:rsid w:val="5583293E"/>
    <w:rsid w:val="55A738A9"/>
    <w:rsid w:val="55B61545"/>
    <w:rsid w:val="55BC4D54"/>
    <w:rsid w:val="56890EC0"/>
    <w:rsid w:val="5692582C"/>
    <w:rsid w:val="570912E1"/>
    <w:rsid w:val="57887FEB"/>
    <w:rsid w:val="57B25190"/>
    <w:rsid w:val="57C27FB3"/>
    <w:rsid w:val="57E9714D"/>
    <w:rsid w:val="58077304"/>
    <w:rsid w:val="58362E96"/>
    <w:rsid w:val="58844B71"/>
    <w:rsid w:val="5897598C"/>
    <w:rsid w:val="58AB7A4D"/>
    <w:rsid w:val="58D94200"/>
    <w:rsid w:val="59586D58"/>
    <w:rsid w:val="59677EDD"/>
    <w:rsid w:val="597F3BD9"/>
    <w:rsid w:val="59A22975"/>
    <w:rsid w:val="5A6727DB"/>
    <w:rsid w:val="5A950C21"/>
    <w:rsid w:val="5AB2264A"/>
    <w:rsid w:val="5AB5751E"/>
    <w:rsid w:val="5ACA6A96"/>
    <w:rsid w:val="5AD16D7A"/>
    <w:rsid w:val="5B362855"/>
    <w:rsid w:val="5B6C4B29"/>
    <w:rsid w:val="5BA94004"/>
    <w:rsid w:val="5BC13E39"/>
    <w:rsid w:val="5C0C4B6F"/>
    <w:rsid w:val="5C1478BF"/>
    <w:rsid w:val="5D0E1D2D"/>
    <w:rsid w:val="5D171886"/>
    <w:rsid w:val="5D1B72B7"/>
    <w:rsid w:val="5D5928C9"/>
    <w:rsid w:val="5D865617"/>
    <w:rsid w:val="5D8D27EC"/>
    <w:rsid w:val="5D9140C6"/>
    <w:rsid w:val="5DB710CE"/>
    <w:rsid w:val="5DBA069B"/>
    <w:rsid w:val="5DD143E3"/>
    <w:rsid w:val="5E0428EF"/>
    <w:rsid w:val="5E9400E1"/>
    <w:rsid w:val="5E9B13CC"/>
    <w:rsid w:val="5EA00D25"/>
    <w:rsid w:val="5EAE5411"/>
    <w:rsid w:val="5EE40247"/>
    <w:rsid w:val="5EEB3C69"/>
    <w:rsid w:val="5EF96073"/>
    <w:rsid w:val="5F315219"/>
    <w:rsid w:val="5F3F4135"/>
    <w:rsid w:val="600A79DA"/>
    <w:rsid w:val="60A018A6"/>
    <w:rsid w:val="60AF090F"/>
    <w:rsid w:val="61673569"/>
    <w:rsid w:val="61682C5E"/>
    <w:rsid w:val="61DB67A7"/>
    <w:rsid w:val="624177A1"/>
    <w:rsid w:val="62D929F0"/>
    <w:rsid w:val="62EB2AC1"/>
    <w:rsid w:val="62EE1B89"/>
    <w:rsid w:val="62F22AE1"/>
    <w:rsid w:val="62F35C8B"/>
    <w:rsid w:val="63096BC2"/>
    <w:rsid w:val="633C5069"/>
    <w:rsid w:val="636F45AD"/>
    <w:rsid w:val="63755B1A"/>
    <w:rsid w:val="637E0D2F"/>
    <w:rsid w:val="63831212"/>
    <w:rsid w:val="63831EDD"/>
    <w:rsid w:val="63CC1E14"/>
    <w:rsid w:val="64113104"/>
    <w:rsid w:val="642C43DB"/>
    <w:rsid w:val="64A62BB3"/>
    <w:rsid w:val="65263948"/>
    <w:rsid w:val="652A1F63"/>
    <w:rsid w:val="6550372A"/>
    <w:rsid w:val="65737F6C"/>
    <w:rsid w:val="65B225C6"/>
    <w:rsid w:val="65ED1978"/>
    <w:rsid w:val="65F16AAF"/>
    <w:rsid w:val="65FA05AF"/>
    <w:rsid w:val="666306AD"/>
    <w:rsid w:val="66674A25"/>
    <w:rsid w:val="666B4F96"/>
    <w:rsid w:val="668A0482"/>
    <w:rsid w:val="66AC0416"/>
    <w:rsid w:val="66D92F61"/>
    <w:rsid w:val="673F46FA"/>
    <w:rsid w:val="67540B9B"/>
    <w:rsid w:val="67615E19"/>
    <w:rsid w:val="676D6897"/>
    <w:rsid w:val="676F7603"/>
    <w:rsid w:val="67B36B38"/>
    <w:rsid w:val="68431811"/>
    <w:rsid w:val="686D2784"/>
    <w:rsid w:val="68C31C4B"/>
    <w:rsid w:val="68C557D6"/>
    <w:rsid w:val="694D280B"/>
    <w:rsid w:val="695D4591"/>
    <w:rsid w:val="6A0A5B9F"/>
    <w:rsid w:val="6A1C2B54"/>
    <w:rsid w:val="6A4577A8"/>
    <w:rsid w:val="6A6359C7"/>
    <w:rsid w:val="6B0D791F"/>
    <w:rsid w:val="6B680B17"/>
    <w:rsid w:val="6B793B38"/>
    <w:rsid w:val="6B9474B7"/>
    <w:rsid w:val="6B962F2A"/>
    <w:rsid w:val="6BA72FC4"/>
    <w:rsid w:val="6BBD3971"/>
    <w:rsid w:val="6C0C1251"/>
    <w:rsid w:val="6C492A20"/>
    <w:rsid w:val="6C7A121B"/>
    <w:rsid w:val="6C914680"/>
    <w:rsid w:val="6CAB7EF3"/>
    <w:rsid w:val="6D547904"/>
    <w:rsid w:val="6DED67FF"/>
    <w:rsid w:val="6E604867"/>
    <w:rsid w:val="6E7A70D8"/>
    <w:rsid w:val="6EBE1AC2"/>
    <w:rsid w:val="6ED45312"/>
    <w:rsid w:val="6EEB7DDD"/>
    <w:rsid w:val="6F6F4B1A"/>
    <w:rsid w:val="70045670"/>
    <w:rsid w:val="705A5502"/>
    <w:rsid w:val="708A387D"/>
    <w:rsid w:val="70D66E22"/>
    <w:rsid w:val="71580A15"/>
    <w:rsid w:val="715C23C5"/>
    <w:rsid w:val="723C052C"/>
    <w:rsid w:val="72B4282C"/>
    <w:rsid w:val="72E606C5"/>
    <w:rsid w:val="73091132"/>
    <w:rsid w:val="731A0331"/>
    <w:rsid w:val="73405FC8"/>
    <w:rsid w:val="73AA49C4"/>
    <w:rsid w:val="73D87E91"/>
    <w:rsid w:val="73E27CCA"/>
    <w:rsid w:val="744E2DCF"/>
    <w:rsid w:val="745928B8"/>
    <w:rsid w:val="747E0F70"/>
    <w:rsid w:val="751817E9"/>
    <w:rsid w:val="75357198"/>
    <w:rsid w:val="7541386A"/>
    <w:rsid w:val="755173CC"/>
    <w:rsid w:val="755C542F"/>
    <w:rsid w:val="75E27CA3"/>
    <w:rsid w:val="75E621BD"/>
    <w:rsid w:val="762176F7"/>
    <w:rsid w:val="763005A7"/>
    <w:rsid w:val="76BB08A1"/>
    <w:rsid w:val="76D462C0"/>
    <w:rsid w:val="76D93E7E"/>
    <w:rsid w:val="76E94D9D"/>
    <w:rsid w:val="76F03CC7"/>
    <w:rsid w:val="783B4F91"/>
    <w:rsid w:val="78923E60"/>
    <w:rsid w:val="78DC00C3"/>
    <w:rsid w:val="78E81E30"/>
    <w:rsid w:val="79030C1D"/>
    <w:rsid w:val="797216B7"/>
    <w:rsid w:val="79820877"/>
    <w:rsid w:val="79CD2568"/>
    <w:rsid w:val="7A551207"/>
    <w:rsid w:val="7A747925"/>
    <w:rsid w:val="7A8B6A28"/>
    <w:rsid w:val="7ACC32BD"/>
    <w:rsid w:val="7B437156"/>
    <w:rsid w:val="7B6D4448"/>
    <w:rsid w:val="7B790F5B"/>
    <w:rsid w:val="7BE2110F"/>
    <w:rsid w:val="7C153B0C"/>
    <w:rsid w:val="7C3B28C5"/>
    <w:rsid w:val="7C3B3A30"/>
    <w:rsid w:val="7C3E792E"/>
    <w:rsid w:val="7C5707A7"/>
    <w:rsid w:val="7CCF332B"/>
    <w:rsid w:val="7CD14CAC"/>
    <w:rsid w:val="7D1D3775"/>
    <w:rsid w:val="7D276B3F"/>
    <w:rsid w:val="7D3D1E77"/>
    <w:rsid w:val="7D982275"/>
    <w:rsid w:val="7DFA4D6C"/>
    <w:rsid w:val="7E171DC5"/>
    <w:rsid w:val="7E1A4BEE"/>
    <w:rsid w:val="7E2341D3"/>
    <w:rsid w:val="7E3A0B5A"/>
    <w:rsid w:val="7E5A54F7"/>
    <w:rsid w:val="7F5810DF"/>
    <w:rsid w:val="7F6939B0"/>
    <w:rsid w:val="7FC2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120" w:line="360" w:lineRule="auto"/>
      <w:jc w:val="center"/>
      <w:textAlignment w:val="baseline"/>
      <w:outlineLvl w:val="0"/>
    </w:pPr>
    <w:rPr>
      <w:rFonts w:eastAsia="黑体"/>
      <w:kern w:val="44"/>
      <w:sz w:val="36"/>
      <w:szCs w:val="20"/>
    </w:rPr>
  </w:style>
  <w:style w:type="paragraph" w:styleId="4">
    <w:name w:val="heading 2"/>
    <w:basedOn w:val="1"/>
    <w:next w:val="1"/>
    <w:qFormat/>
    <w:uiPriority w:val="0"/>
    <w:pPr>
      <w:keepNext/>
      <w:adjustRightInd w:val="0"/>
      <w:spacing w:before="120" w:line="360" w:lineRule="auto"/>
      <w:jc w:val="center"/>
      <w:textAlignment w:val="baseline"/>
      <w:outlineLvl w:val="1"/>
    </w:pPr>
    <w:rPr>
      <w:rFonts w:eastAsia="黑体"/>
      <w:kern w:val="0"/>
      <w:sz w:val="32"/>
      <w:szCs w:val="20"/>
    </w:rPr>
  </w:style>
  <w:style w:type="paragraph" w:styleId="5">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character" w:default="1" w:styleId="15">
    <w:name w:val="Default Paragraph Font"/>
    <w:link w:val="16"/>
    <w:semiHidden/>
    <w:qFormat/>
    <w:uiPriority w:val="0"/>
    <w:rPr>
      <w:kern w:val="1"/>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Date"/>
    <w:basedOn w:val="1"/>
    <w:next w:val="1"/>
    <w:qFormat/>
    <w:uiPriority w:val="0"/>
    <w:rPr>
      <w:sz w:val="24"/>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right" w:leader="dot" w:pos="9660"/>
      </w:tabs>
      <w:spacing w:before="120" w:after="120"/>
      <w:jc w:val="left"/>
    </w:pPr>
    <w:rPr>
      <w:b/>
      <w:bCs/>
      <w:caps/>
      <w:sz w:val="20"/>
      <w:szCs w:val="20"/>
    </w:rPr>
  </w:style>
  <w:style w:type="paragraph" w:styleId="12">
    <w:name w:val="toc 2"/>
    <w:basedOn w:val="1"/>
    <w:next w:val="1"/>
    <w:qFormat/>
    <w:uiPriority w:val="39"/>
    <w:pPr>
      <w:tabs>
        <w:tab w:val="right" w:leader="dot" w:pos="9628"/>
      </w:tabs>
      <w:ind w:left="420" w:firstLine="120"/>
      <w:jc w:val="left"/>
    </w:pPr>
    <w:rPr>
      <w:small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6">
    <w:name w:val=" Char"/>
    <w:basedOn w:val="1"/>
    <w:link w:val="15"/>
    <w:qFormat/>
    <w:uiPriority w:val="0"/>
    <w:rPr>
      <w:kern w:val="1"/>
    </w:rPr>
  </w:style>
  <w:style w:type="character" w:styleId="17">
    <w:name w:val="Strong"/>
    <w:basedOn w:val="15"/>
    <w:qFormat/>
    <w:uiPriority w:val="0"/>
    <w:rPr>
      <w:b/>
    </w:rPr>
  </w:style>
  <w:style w:type="character" w:styleId="18">
    <w:name w:val="page number"/>
    <w:basedOn w:val="15"/>
    <w:qFormat/>
    <w:uiPriority w:val="0"/>
  </w:style>
  <w:style w:type="character" w:styleId="19">
    <w:name w:val="Hyperlink"/>
    <w:qFormat/>
    <w:uiPriority w:val="99"/>
    <w:rPr>
      <w:color w:val="0000FF"/>
      <w:u w:val="single"/>
    </w:r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1">
    <w:name w:val="表内文字"/>
    <w:basedOn w:val="1"/>
    <w:qFormat/>
    <w:uiPriority w:val="0"/>
    <w:pPr>
      <w:snapToGrid w:val="0"/>
      <w:spacing w:before="50" w:after="50"/>
      <w:jc w:val="center"/>
    </w:pPr>
    <w:rPr>
      <w:rFonts w:ascii="宋体" w:hAnsi="宋体"/>
      <w:color w:val="000000"/>
      <w:szCs w:val="21"/>
    </w:rPr>
  </w:style>
  <w:style w:type="paragraph" w:customStyle="1" w:styleId="22">
    <w:name w:val="样式 标题 3条标题1.1.1Level 3 Headsect1.2.3h33rd levelH33Head 3..."/>
    <w:basedOn w:val="5"/>
    <w:qFormat/>
    <w:uiPriority w:val="0"/>
    <w:pPr>
      <w:keepNext/>
      <w:keepLines/>
      <w:tabs>
        <w:tab w:val="clear" w:pos="900"/>
      </w:tabs>
      <w:autoSpaceDE/>
      <w:autoSpaceDN/>
      <w:adjustRightInd/>
      <w:spacing w:line="360" w:lineRule="auto"/>
      <w:ind w:left="0"/>
      <w:jc w:val="both"/>
    </w:pPr>
    <w:rPr>
      <w:rFonts w:ascii="宋体" w:hAnsi="宋体" w:eastAsia="宋体" w:cs="Times New Roman"/>
      <w:kern w:val="2"/>
      <w:sz w:val="24"/>
    </w:rPr>
  </w:style>
  <w:style w:type="paragraph" w:customStyle="1" w:styleId="23">
    <w:name w:val="纯文本1"/>
    <w:basedOn w:val="1"/>
    <w:qFormat/>
    <w:uiPriority w:val="0"/>
    <w:pPr>
      <w:autoSpaceDE/>
      <w:autoSpaceDN/>
      <w:spacing w:line="360" w:lineRule="atLeast"/>
      <w:jc w:val="both"/>
      <w:textAlignment w:val="baseline"/>
    </w:pPr>
    <w:rPr>
      <w:rFonts w:ascii="宋体" w:hAnsi="Calibri"/>
      <w:sz w:val="21"/>
      <w:szCs w:val="20"/>
    </w:rPr>
  </w:style>
  <w:style w:type="paragraph" w:customStyle="1" w:styleId="24">
    <w:name w:val="首行缩进"/>
    <w:basedOn w:val="1"/>
    <w:qFormat/>
    <w:uiPriority w:val="0"/>
    <w:pPr>
      <w:spacing w:line="300" w:lineRule="auto"/>
      <w:ind w:firstLine="420" w:firstLineChars="200"/>
    </w:pPr>
    <w:rPr>
      <w:rFonts w:eastAsia="方正书宋简体"/>
      <w:szCs w:val="20"/>
    </w:rPr>
  </w:style>
  <w:style w:type="character" w:customStyle="1" w:styleId="25">
    <w:name w:val="ask-title2"/>
    <w:basedOn w:val="15"/>
    <w:qFormat/>
    <w:uiPriority w:val="0"/>
  </w:style>
  <w:style w:type="paragraph" w:customStyle="1" w:styleId="26">
    <w:name w:val="Normal (Web)"/>
    <w:basedOn w:val="1"/>
    <w:qFormat/>
    <w:uiPriority w:val="0"/>
    <w:pPr>
      <w:widowControl/>
      <w:spacing w:before="100" w:beforeLines="0" w:beforeAutospacing="1" w:after="100" w:afterLines="0" w:afterAutospacing="1"/>
    </w:pPr>
    <w:rPr>
      <w:rFonts w:ascii="宋体" w:eastAsia="宋体"/>
      <w:kern w:val="0"/>
      <w:sz w:val="24"/>
    </w:rPr>
  </w:style>
  <w:style w:type="paragraph" w:customStyle="1" w:styleId="27">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2184</Words>
  <Characters>2362</Characters>
  <Lines>0</Lines>
  <Paragraphs>0</Paragraphs>
  <TotalTime>4</TotalTime>
  <ScaleCrop>false</ScaleCrop>
  <LinksUpToDate>false</LinksUpToDate>
  <CharactersWithSpaces>2524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2019-02-25T03:29:00Z</dcterms:created>
  <dc:creator>柏恒～</dc:creator>
  <cp:lastModifiedBy>小梁</cp:lastModifiedBy>
  <cp:lastPrinted>2019-05-08T03:02:00Z</cp:lastPrinted>
  <dcterms:modified xsi:type="dcterms:W3CDTF">2022-07-29T02:09:16Z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F8DCA756E0D044DD810BC9B47F308883</vt:lpwstr>
  </property>
</Properties>
</file>