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798" w:leftChars="304" w:hanging="2160" w:hangingChars="600"/>
        <w:rPr>
          <w:rFonts w:hint="eastAsia" w:ascii="FZXiaoBiaoSong-B05S" w:hAnsi="FZXiaoBiaoSong-B05S" w:eastAsia="FZXiaoBiaoSong-B05S" w:cs="FZXiaoBiaoSong-B05S"/>
          <w:color w:val="auto"/>
          <w:sz w:val="36"/>
          <w:szCs w:val="36"/>
          <w:highlight w:val="none"/>
          <w:lang w:val="en-US" w:eastAsia="zh-CN"/>
        </w:rPr>
      </w:pPr>
      <w:r>
        <w:rPr>
          <w:rFonts w:hint="eastAsia" w:ascii="FZXiaoBiaoSong-B05S" w:hAnsi="FZXiaoBiaoSong-B05S" w:eastAsia="FZXiaoBiaoSong-B05S" w:cs="FZXiaoBiaoSong-B05S"/>
          <w:color w:val="auto"/>
          <w:sz w:val="36"/>
          <w:szCs w:val="36"/>
          <w:highlight w:val="none"/>
          <w:lang w:val="en-US" w:eastAsia="zh-CN"/>
        </w:rPr>
        <w:t>电力业务部进厂大宗型化学药品质量标准细则</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kern w:val="0"/>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一</w:t>
      </w:r>
      <w:r>
        <w:rPr>
          <w:rFonts w:hint="eastAsia" w:ascii="仿宋" w:hAnsi="仿宋" w:eastAsia="仿宋" w:cs="仿宋"/>
          <w:b/>
          <w:bCs/>
          <w:color w:val="auto"/>
          <w:kern w:val="0"/>
          <w:sz w:val="28"/>
          <w:szCs w:val="28"/>
          <w:highlight w:val="none"/>
        </w:rPr>
        <w:t>、聚丙烯酰胺</w:t>
      </w:r>
    </w:p>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（一）执行标准：</w:t>
      </w:r>
      <w:r>
        <w:rPr>
          <w:rFonts w:ascii="仿宋" w:hAnsi="仿宋" w:eastAsia="仿宋" w:cs="仿宋"/>
          <w:color w:val="auto"/>
          <w:sz w:val="28"/>
          <w:szCs w:val="28"/>
          <w:highlight w:val="none"/>
        </w:rPr>
        <w:t>GB/T</w:t>
      </w: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17514-2017</w:t>
      </w:r>
      <w:r>
        <w:rPr>
          <w:rFonts w:hint="eastAsia" w:ascii="仿宋" w:hAnsi="仿宋" w:eastAsia="仿宋" w:cs="仿宋"/>
          <w:color w:val="auto"/>
          <w:sz w:val="28"/>
          <w:szCs w:val="28"/>
          <w:highlight w:val="none"/>
        </w:rPr>
        <w:t>《水处理剂</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阴离子和非离子型聚丙烯酰胺》要求</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（二）质量等级、规格型号要求：</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外观：白色晶体粉末。</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聚丙烯酰胺应符合下表的要求。</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（三）质量验收规则：外观：白色晶体粉末。</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符合下表指标合格验收：</w:t>
      </w:r>
    </w:p>
    <w:tbl>
      <w:tblPr>
        <w:tblStyle w:val="3"/>
        <w:tblpPr w:leftFromText="180" w:rightFromText="180" w:vertAnchor="text" w:horzAnchor="page" w:tblpXSpec="center" w:tblpY="5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4" w:type="dxa"/>
            <w:gridSpan w:val="2"/>
          </w:tcPr>
          <w:p>
            <w:pPr>
              <w:spacing w:line="52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8"/>
                <w:szCs w:val="28"/>
                <w:highlight w:val="none"/>
              </w:rPr>
              <w:t>聚丙烯酰胺</w:t>
            </w:r>
            <w:r>
              <w:rPr>
                <w:rFonts w:hint="eastAsia" w:ascii="仿宋" w:hAnsi="仿宋" w:eastAsia="仿宋" w:cs="仿宋"/>
                <w:b/>
                <w:bCs/>
                <w:color w:val="auto"/>
                <w:kern w:val="0"/>
                <w:sz w:val="28"/>
                <w:szCs w:val="28"/>
                <w:highlight w:val="none"/>
                <w:lang w:val="en-US" w:eastAsia="zh-CN"/>
              </w:rPr>
              <w:t>质量指标要求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5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目</w:t>
            </w:r>
          </w:p>
        </w:tc>
        <w:tc>
          <w:tcPr>
            <w:tcW w:w="4103" w:type="dxa"/>
          </w:tcPr>
          <w:p>
            <w:pPr>
              <w:spacing w:line="52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指标</w:t>
            </w:r>
            <w:r>
              <w:rPr>
                <w:rFonts w:hint="eastAsia" w:ascii="仿宋" w:hAnsi="仿宋" w:eastAsia="仿宋" w:cs="仿宋"/>
                <w:b/>
                <w:bCs/>
                <w:color w:val="auto"/>
                <w:sz w:val="24"/>
                <w:szCs w:val="24"/>
                <w:highlight w:val="none"/>
                <w:lang w:val="en-US" w:eastAsia="zh-CN"/>
              </w:rPr>
              <w:t>要求    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5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固含量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固体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tc>
        <w:tc>
          <w:tcPr>
            <w:tcW w:w="4103" w:type="dxa"/>
          </w:tcPr>
          <w:p>
            <w:pPr>
              <w:spacing w:line="5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1.质量验收：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1.1</w:t>
      </w:r>
      <w:r>
        <w:rPr>
          <w:rFonts w:hint="eastAsia" w:ascii="仿宋" w:hAnsi="仿宋" w:eastAsia="仿宋" w:cs="仿宋"/>
          <w:color w:val="auto"/>
          <w:sz w:val="28"/>
          <w:szCs w:val="28"/>
          <w:highlight w:val="none"/>
          <w:lang w:val="en-US" w:eastAsia="zh-CN"/>
        </w:rPr>
        <w:t>验收时间：产品进厂后，</w:t>
      </w:r>
      <w:r>
        <w:rPr>
          <w:rFonts w:hint="default"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个工作日内为产品验收期。</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1.</w:t>
      </w:r>
      <w:r>
        <w:rPr>
          <w:rFonts w:hint="eastAsia" w:ascii="仿宋" w:hAnsi="仿宋" w:eastAsia="仿宋" w:cs="仿宋"/>
          <w:color w:val="auto"/>
          <w:sz w:val="28"/>
          <w:szCs w:val="28"/>
          <w:highlight w:val="none"/>
          <w:lang w:val="en-US" w:eastAsia="zh-CN"/>
        </w:rPr>
        <w:t>2验收标准：经公司各职能部门评审通过且合同约定的国家质量标准为验收标准。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1.</w:t>
      </w:r>
      <w:r>
        <w:rPr>
          <w:rFonts w:hint="eastAsia" w:ascii="仿宋" w:hAnsi="仿宋" w:eastAsia="仿宋" w:cs="仿宋"/>
          <w:color w:val="auto"/>
          <w:sz w:val="28"/>
          <w:szCs w:val="28"/>
          <w:highlight w:val="none"/>
          <w:lang w:val="en-US" w:eastAsia="zh-CN"/>
        </w:rPr>
        <w:t>3验收方式：以药品到厂后双方现场随机抽检，以买方出具的质检报告为准，如对质量有异议，双方现场抽样封存委托第三方检验机构进行检验。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2.验收内容：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 数量：每月到货量应该按照约定数量按时到货。</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2.2质量验收：质量取样化验及验收，按每批药品随机取 2-3个样品的频率进行取样检测，检测项目包括药品固含量。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3.提出异议时间和方法：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en-US"/>
        </w:rPr>
        <w:t>1</w:t>
      </w:r>
      <w:r>
        <w:rPr>
          <w:rFonts w:hint="eastAsia" w:ascii="仿宋" w:hAnsi="仿宋" w:eastAsia="仿宋" w:cs="仿宋"/>
          <w:color w:val="auto"/>
          <w:sz w:val="28"/>
          <w:szCs w:val="28"/>
          <w:highlight w:val="none"/>
          <w:lang w:val="en-US" w:eastAsia="zh-CN"/>
        </w:rPr>
        <w:t>买方在验收中，发现卖</w:t>
      </w:r>
      <w:bookmarkStart w:id="0" w:name="_GoBack"/>
      <w:bookmarkEnd w:id="0"/>
      <w:r>
        <w:rPr>
          <w:rFonts w:hint="eastAsia" w:ascii="仿宋" w:hAnsi="仿宋" w:eastAsia="仿宋" w:cs="仿宋"/>
          <w:color w:val="auto"/>
          <w:sz w:val="28"/>
          <w:szCs w:val="28"/>
          <w:highlight w:val="none"/>
          <w:lang w:val="en-US" w:eastAsia="zh-CN"/>
        </w:rPr>
        <w:t>方所交药品的品种、规格(型号)、 数量、重量和质量等不符合合同规定，</w:t>
      </w:r>
      <w:r>
        <w:rPr>
          <w:rFonts w:hint="default"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个工作日内向卖方提出书面异议，双方协商解决。</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en-US"/>
        </w:rPr>
        <w:t>.2</w:t>
      </w:r>
      <w:r>
        <w:rPr>
          <w:rFonts w:hint="eastAsia" w:ascii="仿宋" w:hAnsi="仿宋" w:eastAsia="仿宋" w:cs="仿宋"/>
          <w:color w:val="auto"/>
          <w:sz w:val="28"/>
          <w:szCs w:val="28"/>
          <w:highlight w:val="none"/>
          <w:lang w:val="en-US" w:eastAsia="zh-CN"/>
        </w:rPr>
        <w:t>卖方在接到买方的异议后，应在</w:t>
      </w:r>
      <w:r>
        <w:rPr>
          <w:rFonts w:hint="default"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个工作日内处理，否则视为默认买方提出的异议和处理意见。卖方不同意买方异议的，质量方面，由双方共同抽样、封样并共同委托双方认可权威机构进行第三方检验。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3.3复验或请第三方权威机构检验的费用由卖方承担。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（四）质量等级细则约定：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本标准规定的全部指标项目为型式检验项目，在正常生产情况下，每三个月至少进行一次型式检验，其中密度、氧化铝、盐基度、不溶物、PH值等指标项目应逐批检验。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生活饮用水用聚氯化铝应由生产厂的质量监督检验部门按本标准的规定进行检验，生产厂应保证所有出厂的产品都应符合本标准要求，每批出厂的产品都应附有质量证明书，内容包括生产厂名、产品名称、类别、净质量、批号和生产日期、产品质量符合本标准的证明和本标编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使用单位有权按照本标准的规定对所收到的产品进行验收，每批产品不超过200吨，固体不应超过60吨。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按GBT6678规定确定采样单元数。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采样时，将采样器自包装袋的中心垂直插人至料层深度的3/4处采样 ，将所取的样品混匀(对于片剂产品，取样后将样品粉碎后混匀)。按四分法缩分至约500 g，分装于两个清洁、干燥的双层塑料袋中，密封，贴上标签，注明:生产厂名称、产品名称、类别、批号、采样日期和采样者姓名。一袋用于检验，另一袋保存一个月备查。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验收质量不符合本规范书要求时，卖方应无条件地更换聚丙烯酰胺，直至产品合格，如连续三次（含三次）以上不合格产品时，我方有权利单方面解除合同。</w:t>
      </w:r>
    </w:p>
    <w:tbl>
      <w:tblPr>
        <w:tblStyle w:val="2"/>
        <w:tblW w:w="9700" w:type="dxa"/>
        <w:tblInd w:w="-192" w:type="dxa"/>
        <w:tblLayout w:type="fixed"/>
        <w:tblCellMar>
          <w:top w:w="0" w:type="dxa"/>
          <w:left w:w="108" w:type="dxa"/>
          <w:bottom w:w="0" w:type="dxa"/>
          <w:right w:w="108" w:type="dxa"/>
        </w:tblCellMar>
      </w:tblPr>
      <w:tblGrid>
        <w:gridCol w:w="553"/>
        <w:gridCol w:w="1020"/>
        <w:gridCol w:w="1150"/>
        <w:gridCol w:w="1866"/>
        <w:gridCol w:w="2458"/>
        <w:gridCol w:w="2653"/>
      </w:tblGrid>
      <w:tr>
        <w:tblPrEx>
          <w:tblCellMar>
            <w:top w:w="0" w:type="dxa"/>
            <w:left w:w="108" w:type="dxa"/>
            <w:bottom w:w="0" w:type="dxa"/>
            <w:right w:w="108" w:type="dxa"/>
          </w:tblCellMar>
        </w:tblPrEx>
        <w:trPr>
          <w:trHeight w:val="687" w:hRule="atLeast"/>
        </w:trPr>
        <w:tc>
          <w:tcPr>
            <w:tcW w:w="970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聚丙烯酰胺理化性能指标要求</w:t>
            </w:r>
          </w:p>
        </w:tc>
      </w:tr>
      <w:tr>
        <w:tblPrEx>
          <w:tblCellMar>
            <w:top w:w="0" w:type="dxa"/>
            <w:left w:w="108" w:type="dxa"/>
            <w:bottom w:w="0" w:type="dxa"/>
            <w:right w:w="108" w:type="dxa"/>
          </w:tblCellMar>
        </w:tblPrEx>
        <w:trPr>
          <w:trHeight w:val="555" w:hRule="atLeast"/>
        </w:trPr>
        <w:tc>
          <w:tcPr>
            <w:tcW w:w="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子项</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指标要求</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处理类别</w:t>
            </w:r>
          </w:p>
        </w:tc>
        <w:tc>
          <w:tcPr>
            <w:tcW w:w="5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处理措施</w:t>
            </w:r>
          </w:p>
        </w:tc>
      </w:tr>
      <w:tr>
        <w:tblPrEx>
          <w:tblCellMar>
            <w:top w:w="0" w:type="dxa"/>
            <w:left w:w="108" w:type="dxa"/>
            <w:bottom w:w="0" w:type="dxa"/>
            <w:right w:w="108" w:type="dxa"/>
          </w:tblCellMar>
        </w:tblPrEx>
        <w:trPr>
          <w:trHeight w:val="559"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val="en-US" w:eastAsia="zh-CN"/>
              </w:rPr>
              <w:t>1</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固含量（固体）/%</w:t>
            </w:r>
          </w:p>
        </w:tc>
        <w:tc>
          <w:tcPr>
            <w:tcW w:w="11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≥90%</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90%</w:t>
            </w:r>
            <w:r>
              <w:rPr>
                <w:rFonts w:hint="eastAsia" w:ascii="宋体" w:hAnsi="宋体" w:eastAsia="宋体" w:cs="宋体"/>
                <w:i w:val="0"/>
                <w:iCs w:val="0"/>
                <w:color w:val="auto"/>
                <w:sz w:val="18"/>
                <w:szCs w:val="18"/>
                <w:highlight w:val="none"/>
                <w:u w:val="none"/>
                <w:lang w:eastAsia="zh-CN"/>
              </w:rPr>
              <w:t>，重新化验</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随机取两倍样重新化验</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如达标，可以使用</w:t>
            </w:r>
          </w:p>
        </w:tc>
      </w:tr>
      <w:tr>
        <w:tblPrEx>
          <w:tblCellMar>
            <w:top w:w="0" w:type="dxa"/>
            <w:left w:w="108" w:type="dxa"/>
            <w:bottom w:w="0" w:type="dxa"/>
            <w:right w:w="108" w:type="dxa"/>
          </w:tblCellMar>
        </w:tblPrEx>
        <w:trPr>
          <w:trHeight w:val="55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90%</w:t>
            </w:r>
            <w:r>
              <w:rPr>
                <w:rFonts w:hint="eastAsia" w:ascii="宋体" w:hAnsi="宋体" w:eastAsia="宋体" w:cs="宋体"/>
                <w:i w:val="0"/>
                <w:iCs w:val="0"/>
                <w:color w:val="auto"/>
                <w:sz w:val="18"/>
                <w:szCs w:val="18"/>
                <w:highlight w:val="none"/>
                <w:u w:val="none"/>
                <w:lang w:eastAsia="zh-CN"/>
              </w:rPr>
              <w:t>，退换货</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化验后仍不合格</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退货</w:t>
            </w:r>
            <w:r>
              <w:rPr>
                <w:rFonts w:hint="eastAsia" w:ascii="宋体" w:hAnsi="宋体" w:eastAsia="宋体" w:cs="宋体"/>
                <w:i w:val="0"/>
                <w:iCs w:val="0"/>
                <w:color w:val="auto"/>
                <w:sz w:val="18"/>
                <w:szCs w:val="18"/>
                <w:highlight w:val="none"/>
                <w:u w:val="none"/>
                <w:lang w:val="en-US" w:eastAsia="zh-CN"/>
              </w:rPr>
              <w:t>/换货</w:t>
            </w:r>
          </w:p>
        </w:tc>
      </w:tr>
      <w:tr>
        <w:tblPrEx>
          <w:tblCellMar>
            <w:top w:w="0" w:type="dxa"/>
            <w:left w:w="108" w:type="dxa"/>
            <w:bottom w:w="0" w:type="dxa"/>
            <w:right w:w="108" w:type="dxa"/>
          </w:tblCellMar>
        </w:tblPrEx>
        <w:trPr>
          <w:trHeight w:val="559" w:hRule="atLeast"/>
        </w:trPr>
        <w:tc>
          <w:tcPr>
            <w:tcW w:w="553" w:type="dxa"/>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02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综合指标</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1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合格</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退换货</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二次化验仍有指标不合格</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退货</w:t>
            </w:r>
            <w:r>
              <w:rPr>
                <w:rFonts w:hint="eastAsia" w:ascii="宋体" w:hAnsi="宋体" w:eastAsia="宋体" w:cs="宋体"/>
                <w:i w:val="0"/>
                <w:iCs w:val="0"/>
                <w:color w:val="auto"/>
                <w:sz w:val="18"/>
                <w:szCs w:val="18"/>
                <w:highlight w:val="none"/>
                <w:u w:val="none"/>
                <w:lang w:val="en-US" w:eastAsia="zh-CN"/>
              </w:rPr>
              <w:t>/换货</w:t>
            </w:r>
          </w:p>
        </w:tc>
      </w:tr>
      <w:tr>
        <w:tblPrEx>
          <w:tblCellMar>
            <w:top w:w="0" w:type="dxa"/>
            <w:left w:w="108" w:type="dxa"/>
            <w:bottom w:w="0" w:type="dxa"/>
            <w:right w:w="108" w:type="dxa"/>
          </w:tblCellMar>
        </w:tblPrEx>
        <w:trPr>
          <w:trHeight w:val="559" w:hRule="atLeast"/>
        </w:trPr>
        <w:tc>
          <w:tcPr>
            <w:tcW w:w="55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0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15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退换货</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更换货化验仍有指标不达标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退货</w:t>
            </w:r>
            <w:r>
              <w:rPr>
                <w:rFonts w:hint="eastAsia" w:ascii="宋体" w:hAnsi="宋体" w:eastAsia="宋体" w:cs="宋体"/>
                <w:i w:val="0"/>
                <w:iCs w:val="0"/>
                <w:color w:val="auto"/>
                <w:sz w:val="18"/>
                <w:szCs w:val="18"/>
                <w:highlight w:val="none"/>
                <w:u w:val="none"/>
                <w:lang w:val="en-US" w:eastAsia="zh-CN"/>
              </w:rPr>
              <w:t>/换货</w:t>
            </w:r>
          </w:p>
        </w:tc>
      </w:tr>
      <w:tr>
        <w:tblPrEx>
          <w:tblCellMar>
            <w:top w:w="0" w:type="dxa"/>
            <w:left w:w="108" w:type="dxa"/>
            <w:bottom w:w="0" w:type="dxa"/>
            <w:right w:w="108" w:type="dxa"/>
          </w:tblCellMar>
        </w:tblPrEx>
        <w:trPr>
          <w:trHeight w:val="559" w:hRule="atLeast"/>
        </w:trPr>
        <w:tc>
          <w:tcPr>
            <w:tcW w:w="55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02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15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退换货</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再次更换化验仍有指标不达标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eastAsia="zh-CN"/>
              </w:rPr>
              <w:t>解除合同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iaoBiaoSong-B05S">
    <w:altName w:val="宋体"/>
    <w:panose1 w:val="02000000000000000000"/>
    <w:charset w:val="86"/>
    <w:family w:val="auto"/>
    <w:pitch w:val="default"/>
    <w:sig w:usb0="00000000" w:usb1="00000000"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TlkMjhjMWE5YTU4M2FjYmUxYTQwZTkyZDNmYTUifQ=="/>
  </w:docVars>
  <w:rsids>
    <w:rsidRoot w:val="00000000"/>
    <w:rsid w:val="017C5003"/>
    <w:rsid w:val="4118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2022-12-21T07:54:00Z</dcterms:created>
  <dc:creator>Administrator</dc:creator>
  <cp:lastModifiedBy>陆祖仁</cp:lastModifiedBy>
  <dcterms:modified xsi:type="dcterms:W3CDTF">2022-12-21T08:12:37Z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89AEFD65076A4A05BD7E1C693583348B</vt:lpwstr>
  </property>
</Properties>
</file>