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0"/>
        </w:numPr>
        <w:tabs>
          <w:tab w:val="left" w:pos="5130"/>
        </w:tabs>
        <w:bidi w:val="0"/>
        <w:ind w:left="0" w:firstLine="0"/>
        <w:jc w:val="center"/>
        <w:outlineLvl w:val="1"/>
        <w:rPr>
          <w:rFonts w:ascii="微软雅黑" w:hAnsi="微软雅黑" w:eastAsia="微软雅黑" w:cs="微软雅黑"/>
          <w:b/>
          <w:sz w:val="30"/>
          <w:szCs w:val="30"/>
        </w:rPr>
      </w:pPr>
      <w:r>
        <w:rPr>
          <w:rFonts w:ascii="微软雅黑" w:hAnsi="微软雅黑" w:eastAsia="微软雅黑" w:cs="微软雅黑"/>
          <w:b/>
          <w:sz w:val="30"/>
          <w:szCs w:val="30"/>
          <w:lang w:val="en-US" w:eastAsia="zh-CN"/>
        </w:rPr>
        <w:t xml:space="preserve"> </w:t>
      </w:r>
      <w:r>
        <w:rPr>
          <w:rFonts w:hint="eastAsia" w:ascii="微软雅黑" w:hAnsi="微软雅黑" w:eastAsia="微软雅黑" w:cs="微软雅黑"/>
          <w:b/>
          <w:sz w:val="30"/>
          <w:szCs w:val="30"/>
          <w:lang w:val="en-US" w:eastAsia="zh-CN"/>
        </w:rPr>
        <w:t>广西百矿新材料技术有限公司年产1000万只低压铸造铝合金轮毂项目（一期520万只）节能审查技术要求</w:t>
      </w:r>
    </w:p>
    <w:p>
      <w:pPr>
        <w:pStyle w:val="13"/>
        <w:bidi w:val="0"/>
        <w:rPr>
          <w:rFonts w:ascii="微软雅黑" w:hAnsi="微软雅黑" w:eastAsia="微软雅黑" w:cs="微软雅黑"/>
          <w:b/>
          <w:sz w:val="24"/>
          <w:szCs w:val="24"/>
        </w:rPr>
      </w:pPr>
    </w:p>
    <w:p>
      <w:pPr>
        <w:pStyle w:val="13"/>
        <w:bidi w:val="0"/>
        <w:rPr>
          <w:rFonts w:ascii="微软雅黑" w:hAnsi="微软雅黑" w:eastAsia="微软雅黑" w:cs="微软雅黑"/>
          <w:b/>
          <w:sz w:val="24"/>
          <w:szCs w:val="24"/>
        </w:rPr>
      </w:pPr>
    </w:p>
    <w:p>
      <w:pPr>
        <w:pStyle w:val="13"/>
        <w:keepNext/>
        <w:keepLines/>
        <w:pageBreakBefore w:val="0"/>
        <w:widowControl w:val="0"/>
        <w:numPr>
          <w:ilvl w:val="0"/>
          <w:numId w:val="0"/>
        </w:numPr>
        <w:overflowPunct/>
        <w:bidi w:val="0"/>
        <w:snapToGrid/>
        <w:spacing w:before="100" w:after="0" w:line="200" w:lineRule="exact"/>
        <w:ind w:left="0" w:firstLine="0"/>
        <w:jc w:val="both"/>
        <w:textAlignment w:val="auto"/>
        <w:outlineLvl w:val="1"/>
        <w:rPr>
          <w:rFonts w:ascii="微软雅黑" w:hAnsi="微软雅黑" w:eastAsia="微软雅黑" w:cs="微软雅黑"/>
          <w:b/>
          <w:sz w:val="24"/>
          <w:szCs w:val="24"/>
        </w:rPr>
      </w:pPr>
    </w:p>
    <w:p>
      <w:pPr>
        <w:pStyle w:val="13"/>
        <w:numPr>
          <w:ilvl w:val="0"/>
          <w:numId w:val="0"/>
        </w:numPr>
        <w:bidi w:val="0"/>
        <w:ind w:left="0" w:firstLine="0"/>
        <w:rPr>
          <w:rFonts w:ascii="微软雅黑" w:hAnsi="微软雅黑" w:eastAsia="微软雅黑" w:cs="微软雅黑"/>
          <w:b/>
          <w:sz w:val="24"/>
          <w:szCs w:val="24"/>
        </w:rPr>
      </w:pPr>
      <w:r>
        <w:rPr>
          <w:rFonts w:ascii="微软雅黑" w:hAnsi="微软雅黑" w:eastAsia="微软雅黑" w:cs="微软雅黑"/>
          <w:b/>
          <w:sz w:val="24"/>
          <w:szCs w:val="24"/>
          <w:lang w:val="en-US" w:eastAsia="zh-CN"/>
        </w:rPr>
        <w:t>1.</w:t>
      </w:r>
      <w:r>
        <w:rPr>
          <w:rFonts w:ascii="微软雅黑" w:hAnsi="微软雅黑" w:eastAsia="微软雅黑" w:cs="微软雅黑"/>
          <w:b/>
          <w:sz w:val="24"/>
          <w:szCs w:val="24"/>
        </w:rPr>
        <w:t>招标条件</w:t>
      </w:r>
    </w:p>
    <w:p>
      <w:pPr>
        <w:pStyle w:val="9"/>
        <w:bidi w:val="0"/>
        <w:spacing w:line="400" w:lineRule="exact"/>
        <w:ind w:firstLine="420"/>
        <w:rPr>
          <w:rFonts w:ascii="微软雅黑" w:hAnsi="微软雅黑" w:eastAsia="微软雅黑" w:cs="微软雅黑"/>
          <w:sz w:val="24"/>
          <w:szCs w:val="24"/>
          <w:u w:val="single"/>
          <w:lang w:val="en-US" w:eastAsia="zh-CN"/>
        </w:rPr>
      </w:pPr>
      <w:r>
        <w:rPr>
          <w:rFonts w:hint="eastAsia" w:ascii="微软雅黑" w:hAnsi="微软雅黑" w:eastAsia="微软雅黑" w:cs="微软雅黑"/>
          <w:sz w:val="24"/>
          <w:szCs w:val="24"/>
          <w:u w:val="single"/>
          <w:lang w:val="en-US" w:eastAsia="zh-CN"/>
        </w:rPr>
        <w:t>广西百矿新材料技术有限公司年产1000万只低压铸造铝合金轮毂项目（一期520万只）节能验收咨询服务</w:t>
      </w:r>
      <w:r>
        <w:rPr>
          <w:rFonts w:hint="eastAsia" w:ascii="微软雅黑" w:hAnsi="微软雅黑" w:eastAsia="微软雅黑" w:cs="微软雅黑"/>
          <w:sz w:val="24"/>
          <w:szCs w:val="24"/>
          <w:lang w:val="en-US" w:eastAsia="zh-CN"/>
        </w:rPr>
        <w:t>已</w:t>
      </w:r>
      <w:r>
        <w:rPr>
          <w:rFonts w:ascii="微软雅黑" w:hAnsi="微软雅黑" w:eastAsia="微软雅黑" w:cs="微软雅黑"/>
          <w:sz w:val="24"/>
          <w:szCs w:val="24"/>
        </w:rPr>
        <w:t>具备招标条件，现邀请贵司参与本项目投标，招标人为</w:t>
      </w:r>
      <w:r>
        <w:rPr>
          <w:rFonts w:hint="eastAsia" w:ascii="微软雅黑" w:hAnsi="微软雅黑" w:eastAsia="微软雅黑" w:cs="微软雅黑"/>
          <w:sz w:val="24"/>
          <w:szCs w:val="24"/>
          <w:u w:val="single"/>
          <w:lang w:val="en-US" w:eastAsia="zh-CN"/>
        </w:rPr>
        <w:t>广西百矿新材料技术有限公司</w:t>
      </w:r>
      <w:r>
        <w:rPr>
          <w:rFonts w:ascii="微软雅黑" w:hAnsi="微软雅黑" w:eastAsia="微软雅黑" w:cs="微软雅黑"/>
          <w:sz w:val="24"/>
          <w:szCs w:val="24"/>
          <w:u w:val="single"/>
          <w:lang w:val="en-US" w:eastAsia="zh-CN"/>
        </w:rPr>
        <w:t>。</w:t>
      </w:r>
    </w:p>
    <w:p>
      <w:pPr>
        <w:pStyle w:val="13"/>
        <w:numPr>
          <w:ilvl w:val="0"/>
          <w:numId w:val="1"/>
        </w:numPr>
        <w:bidi w:val="0"/>
        <w:rPr>
          <w:rFonts w:ascii="微软雅黑" w:hAnsi="微软雅黑" w:eastAsia="微软雅黑" w:cs="微软雅黑"/>
          <w:b/>
          <w:sz w:val="24"/>
          <w:szCs w:val="24"/>
        </w:rPr>
      </w:pPr>
      <w:bookmarkStart w:id="0" w:name="_Toc33189456"/>
      <w:r>
        <w:rPr>
          <w:rFonts w:ascii="微软雅黑" w:hAnsi="微软雅黑" w:eastAsia="微软雅黑" w:cs="微软雅黑"/>
          <w:b/>
          <w:sz w:val="24"/>
          <w:szCs w:val="24"/>
        </w:rPr>
        <w:t>项目概况与</w:t>
      </w:r>
      <w:r>
        <w:rPr>
          <w:rFonts w:hint="eastAsia" w:ascii="微软雅黑" w:hAnsi="微软雅黑" w:eastAsia="微软雅黑" w:cs="微软雅黑"/>
          <w:b/>
          <w:sz w:val="24"/>
          <w:szCs w:val="24"/>
          <w:lang w:val="en-US" w:eastAsia="zh-CN"/>
        </w:rPr>
        <w:t>服务</w:t>
      </w:r>
      <w:r>
        <w:rPr>
          <w:rFonts w:ascii="微软雅黑" w:hAnsi="微软雅黑" w:eastAsia="微软雅黑" w:cs="微软雅黑"/>
          <w:b/>
          <w:sz w:val="24"/>
          <w:szCs w:val="24"/>
        </w:rPr>
        <w:t>范围</w:t>
      </w:r>
      <w:bookmarkEnd w:id="0"/>
    </w:p>
    <w:p>
      <w:pPr>
        <w:pStyle w:val="13"/>
        <w:numPr>
          <w:ilvl w:val="0"/>
          <w:numId w:val="0"/>
        </w:numPr>
        <w:bidi w:val="0"/>
        <w:ind w:left="0" w:firstLine="0"/>
        <w:rPr>
          <w:rFonts w:ascii="微软雅黑" w:hAnsi="微软雅黑" w:eastAsia="微软雅黑" w:cs="微软雅黑"/>
          <w:b w:val="0"/>
          <w:bCs/>
          <w:sz w:val="24"/>
          <w:szCs w:val="24"/>
          <w:lang w:val="en-US" w:eastAsia="zh-CN"/>
        </w:rPr>
      </w:pPr>
      <w:r>
        <w:rPr>
          <w:rFonts w:ascii="微软雅黑" w:hAnsi="微软雅黑" w:eastAsia="微软雅黑" w:cs="微软雅黑"/>
          <w:b w:val="0"/>
          <w:bCs/>
          <w:sz w:val="24"/>
          <w:szCs w:val="24"/>
          <w:lang w:val="en-US" w:eastAsia="zh-CN"/>
        </w:rPr>
        <w:t>2.1概况</w:t>
      </w:r>
    </w:p>
    <w:p>
      <w:pPr>
        <w:pStyle w:val="9"/>
        <w:bidi w:val="0"/>
        <w:spacing w:line="400" w:lineRule="exact"/>
        <w:ind w:firstLine="420"/>
        <w:rPr>
          <w:rFonts w:hint="eastAsia" w:ascii="微软雅黑" w:hAnsi="微软雅黑" w:eastAsia="微软雅黑" w:cs="微软雅黑"/>
          <w:sz w:val="24"/>
          <w:szCs w:val="24"/>
          <w:u w:val="none"/>
          <w:lang w:val="en-US" w:eastAsia="zh-CN"/>
        </w:rPr>
      </w:pPr>
      <w:r>
        <w:rPr>
          <w:rFonts w:hint="eastAsia" w:ascii="微软雅黑" w:hAnsi="微软雅黑" w:eastAsia="微软雅黑" w:cs="微软雅黑"/>
          <w:sz w:val="24"/>
          <w:szCs w:val="24"/>
          <w:u w:val="none"/>
          <w:lang w:val="en-US" w:eastAsia="zh-CN"/>
        </w:rPr>
        <w:t>项目建设地点为广西壮族自治区百色市新山铝产业示范园内经一路与纬一路交叉路口东北方向地块，项目建设年产 520 万只铝轮毂联合厂房及配套的生产辅助设施、动力站房。项目包括 1#联合厂房、试验中心、综合楼、综合站房、辅料及备件库、油品库、固废站、天然气站、门卫。1#联合厂房由热工车间、加工车间、涂装车间、包装车间及成品库组成，各车间变电间、循环水站、空压站均设在联合厂房东侧辅房内。</w:t>
      </w:r>
    </w:p>
    <w:p>
      <w:pPr>
        <w:pStyle w:val="13"/>
        <w:numPr>
          <w:ilvl w:val="0"/>
          <w:numId w:val="0"/>
        </w:numPr>
        <w:bidi w:val="0"/>
        <w:ind w:left="0" w:firstLine="0"/>
        <w:rPr>
          <w:rFonts w:ascii="微软雅黑" w:hAnsi="微软雅黑" w:eastAsia="微软雅黑" w:cs="微软雅黑"/>
          <w:b w:val="0"/>
          <w:bCs/>
          <w:sz w:val="24"/>
          <w:szCs w:val="24"/>
          <w:lang w:val="en-US" w:eastAsia="zh-CN"/>
        </w:rPr>
      </w:pPr>
      <w:r>
        <w:rPr>
          <w:rFonts w:ascii="微软雅黑" w:hAnsi="微软雅黑" w:eastAsia="微软雅黑" w:cs="微软雅黑"/>
          <w:b w:val="0"/>
          <w:bCs/>
          <w:sz w:val="24"/>
          <w:szCs w:val="24"/>
          <w:lang w:val="en-US" w:eastAsia="zh-CN"/>
        </w:rPr>
        <w:t>2.2</w:t>
      </w:r>
      <w:r>
        <w:rPr>
          <w:rFonts w:hint="eastAsia" w:ascii="微软雅黑" w:hAnsi="微软雅黑" w:eastAsia="微软雅黑" w:cs="微软雅黑"/>
          <w:b w:val="0"/>
          <w:bCs/>
          <w:kern w:val="2"/>
          <w:sz w:val="24"/>
          <w:szCs w:val="24"/>
          <w:lang w:val="en-US" w:eastAsia="zh-CN" w:bidi="ar-SA"/>
        </w:rPr>
        <w:t>服务</w:t>
      </w:r>
      <w:r>
        <w:rPr>
          <w:rFonts w:hint="eastAsia" w:ascii="微软雅黑" w:hAnsi="微软雅黑" w:eastAsia="微软雅黑" w:cs="微软雅黑"/>
          <w:b w:val="0"/>
          <w:bCs/>
          <w:sz w:val="24"/>
          <w:szCs w:val="24"/>
          <w:lang w:val="en-US" w:eastAsia="zh-CN"/>
        </w:rPr>
        <w:t>范围</w:t>
      </w:r>
    </w:p>
    <w:p>
      <w:pPr>
        <w:pStyle w:val="9"/>
        <w:bidi w:val="0"/>
        <w:spacing w:line="400" w:lineRule="exac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2.2.1根据政府对公司《节能报告》审批意见，审核项目建设用能设备的符合性、工艺能耗、项目总能耗及产品单耗，并提出节能势在技改建议。</w:t>
      </w:r>
    </w:p>
    <w:p>
      <w:pPr>
        <w:pStyle w:val="9"/>
        <w:bidi w:val="0"/>
        <w:spacing w:line="400" w:lineRule="exac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2.2.2安排技术人员到现场核对相关设备、工艺、能耗数据等并编制企业自查报告。</w:t>
      </w:r>
    </w:p>
    <w:p>
      <w:pPr>
        <w:pStyle w:val="9"/>
        <w:bidi w:val="0"/>
        <w:spacing w:line="400" w:lineRule="exac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2.2.3组织政府部门及专家到现场开展节能验收工作并编制节能验收报告。</w:t>
      </w:r>
    </w:p>
    <w:p>
      <w:pPr>
        <w:pStyle w:val="13"/>
        <w:bidi w:val="0"/>
        <w:rPr>
          <w:rFonts w:ascii="微软雅黑" w:hAnsi="微软雅黑" w:eastAsia="微软雅黑" w:cs="微软雅黑"/>
          <w:b/>
          <w:sz w:val="24"/>
          <w:szCs w:val="24"/>
        </w:rPr>
      </w:pPr>
      <w:bookmarkStart w:id="1" w:name="_Toc33189457"/>
      <w:r>
        <w:rPr>
          <w:rFonts w:ascii="微软雅黑" w:hAnsi="微软雅黑" w:eastAsia="微软雅黑" w:cs="微软雅黑"/>
          <w:b/>
          <w:sz w:val="24"/>
          <w:szCs w:val="24"/>
        </w:rPr>
        <w:t>3. 投标人资格要求</w:t>
      </w:r>
      <w:bookmarkEnd w:id="1"/>
    </w:p>
    <w:p>
      <w:pPr>
        <w:pStyle w:val="9"/>
        <w:bidi w:val="0"/>
        <w:spacing w:line="400" w:lineRule="exac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3.1 投标人应提供企业营业执照；投标人应当通过全国投资项目在线审批监管平台备案；</w:t>
      </w:r>
    </w:p>
    <w:p>
      <w:pPr>
        <w:pStyle w:val="9"/>
        <w:bidi w:val="0"/>
        <w:spacing w:line="400" w:lineRule="exac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3.2项目负责人应当具备高级工程师证书；</w:t>
      </w:r>
    </w:p>
    <w:p>
      <w:pPr>
        <w:pStyle w:val="9"/>
        <w:bidi w:val="0"/>
        <w:spacing w:line="400" w:lineRule="exac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3.3近三年无履约不良记录，具有良好的商业信誉。</w:t>
      </w:r>
    </w:p>
    <w:p>
      <w:pPr>
        <w:pStyle w:val="9"/>
        <w:bidi w:val="0"/>
        <w:spacing w:line="400" w:lineRule="exact"/>
        <w:rPr>
          <w:rFonts w:hint="default"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3.4 近三年验收业绩三个</w:t>
      </w:r>
    </w:p>
    <w:p>
      <w:pPr>
        <w:pStyle w:val="13"/>
        <w:numPr>
          <w:ilvl w:val="0"/>
          <w:numId w:val="0"/>
        </w:numPr>
        <w:bidi w:val="0"/>
        <w:ind w:left="0" w:firstLine="0"/>
        <w:rPr>
          <w:rFonts w:ascii="微软雅黑" w:hAnsi="微软雅黑" w:eastAsia="微软雅黑" w:cs="微软雅黑"/>
          <w:b/>
          <w:color w:val="auto"/>
          <w:sz w:val="24"/>
          <w:szCs w:val="24"/>
        </w:rPr>
      </w:pPr>
      <w:bookmarkStart w:id="2" w:name="_Toc33189458"/>
      <w:r>
        <w:rPr>
          <w:rFonts w:ascii="微软雅黑" w:hAnsi="微软雅黑" w:eastAsia="微软雅黑" w:cs="微软雅黑"/>
          <w:b/>
          <w:color w:val="auto"/>
          <w:sz w:val="24"/>
          <w:szCs w:val="24"/>
          <w:lang w:val="en-US" w:eastAsia="zh-CN"/>
        </w:rPr>
        <w:t>4.竞价谈判评标办法</w:t>
      </w:r>
      <w:bookmarkEnd w:id="2"/>
    </w:p>
    <w:p>
      <w:pPr>
        <w:pStyle w:val="9"/>
        <w:bidi w:val="0"/>
        <w:spacing w:line="400" w:lineRule="exact"/>
        <w:ind w:firstLine="480" w:firstLineChars="200"/>
        <w:rPr>
          <w:rFonts w:ascii="微软雅黑" w:hAnsi="微软雅黑" w:eastAsia="微软雅黑" w:cs="微软雅黑"/>
          <w:color w:val="auto"/>
          <w:sz w:val="24"/>
          <w:szCs w:val="24"/>
          <w:lang w:val="en-US" w:eastAsia="zh-CN"/>
        </w:rPr>
      </w:pPr>
      <w:r>
        <w:rPr>
          <w:rFonts w:ascii="微软雅黑" w:hAnsi="微软雅黑" w:eastAsia="微软雅黑" w:cs="微软雅黑"/>
          <w:color w:val="auto"/>
          <w:sz w:val="24"/>
          <w:szCs w:val="24"/>
          <w:lang w:val="en-US" w:eastAsia="zh-CN"/>
        </w:rPr>
        <w:t>本次评标</w:t>
      </w:r>
      <w:r>
        <w:rPr>
          <w:rFonts w:ascii="微软雅黑" w:hAnsi="微软雅黑" w:eastAsia="微软雅黑" w:cs="微软雅黑"/>
          <w:color w:val="auto"/>
          <w:sz w:val="24"/>
          <w:szCs w:val="24"/>
        </w:rPr>
        <w:t>采用</w:t>
      </w:r>
      <w:r>
        <w:rPr>
          <w:rFonts w:ascii="微软雅黑" w:hAnsi="微软雅黑" w:eastAsia="微软雅黑" w:cs="微软雅黑"/>
          <w:color w:val="auto"/>
          <w:kern w:val="2"/>
          <w:sz w:val="24"/>
          <w:szCs w:val="24"/>
          <w:lang w:val="en-US" w:eastAsia="zh-CN"/>
        </w:rPr>
        <w:t>最低评标价法</w:t>
      </w:r>
      <w:r>
        <w:rPr>
          <w:rFonts w:ascii="微软雅黑" w:hAnsi="微软雅黑" w:eastAsia="微软雅黑" w:cs="微软雅黑"/>
          <w:color w:val="auto"/>
          <w:sz w:val="24"/>
          <w:szCs w:val="24"/>
        </w:rPr>
        <w:t>中标</w:t>
      </w:r>
      <w:r>
        <w:rPr>
          <w:rFonts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sz w:val="24"/>
          <w:szCs w:val="24"/>
          <w:lang w:val="en-US" w:eastAsia="zh-CN"/>
        </w:rPr>
        <w:t>投标人投标时须提交营业执照、代理授权书、法人委托书、承诺函和投标报价等，</w:t>
      </w:r>
      <w:r>
        <w:rPr>
          <w:rFonts w:ascii="微软雅黑" w:hAnsi="微软雅黑" w:eastAsia="微软雅黑" w:cs="微软雅黑"/>
          <w:color w:val="auto"/>
          <w:sz w:val="24"/>
          <w:szCs w:val="24"/>
          <w:lang w:val="en-US" w:eastAsia="zh-CN"/>
        </w:rPr>
        <w:t>本次开标计划定于</w:t>
      </w:r>
      <w:r>
        <w:rPr>
          <w:rFonts w:ascii="微软雅黑" w:hAnsi="微软雅黑" w:eastAsia="微软雅黑" w:cs="微软雅黑"/>
          <w:color w:val="auto"/>
          <w:sz w:val="24"/>
          <w:szCs w:val="24"/>
          <w:highlight w:val="yellow"/>
          <w:lang w:val="en-US" w:eastAsia="zh-CN"/>
        </w:rPr>
        <w:t xml:space="preserve"> </w:t>
      </w:r>
      <w:r>
        <w:rPr>
          <w:rFonts w:hint="eastAsia" w:ascii="微软雅黑" w:hAnsi="微软雅黑" w:eastAsia="微软雅黑" w:cs="微软雅黑"/>
          <w:color w:val="auto"/>
          <w:sz w:val="24"/>
          <w:szCs w:val="24"/>
          <w:highlight w:val="yellow"/>
          <w:u w:val="single"/>
          <w:lang w:val="en-US" w:eastAsia="zh-CN"/>
        </w:rPr>
        <w:t>2023</w:t>
      </w:r>
      <w:r>
        <w:rPr>
          <w:rFonts w:ascii="微软雅黑" w:hAnsi="微软雅黑" w:eastAsia="微软雅黑" w:cs="微软雅黑"/>
          <w:color w:val="auto"/>
          <w:sz w:val="24"/>
          <w:szCs w:val="24"/>
          <w:highlight w:val="yellow"/>
          <w:u w:val="single"/>
          <w:lang w:val="en-US" w:eastAsia="zh-CN"/>
        </w:rPr>
        <w:t xml:space="preserve"> 年 </w:t>
      </w:r>
      <w:r>
        <w:rPr>
          <w:rFonts w:hint="eastAsia" w:ascii="微软雅黑" w:hAnsi="微软雅黑" w:eastAsia="微软雅黑" w:cs="微软雅黑"/>
          <w:color w:val="auto"/>
          <w:sz w:val="24"/>
          <w:szCs w:val="24"/>
          <w:highlight w:val="yellow"/>
          <w:u w:val="single"/>
          <w:lang w:val="en-US" w:eastAsia="zh-CN"/>
        </w:rPr>
        <w:t>3</w:t>
      </w:r>
      <w:r>
        <w:rPr>
          <w:rFonts w:ascii="微软雅黑" w:hAnsi="微软雅黑" w:eastAsia="微软雅黑" w:cs="微软雅黑"/>
          <w:color w:val="auto"/>
          <w:sz w:val="24"/>
          <w:szCs w:val="24"/>
          <w:highlight w:val="yellow"/>
          <w:u w:val="single"/>
          <w:lang w:val="en-US" w:eastAsia="zh-CN"/>
        </w:rPr>
        <w:t>月</w:t>
      </w:r>
      <w:r>
        <w:rPr>
          <w:rFonts w:hint="eastAsia" w:ascii="微软雅黑" w:hAnsi="微软雅黑" w:eastAsia="微软雅黑" w:cs="微软雅黑"/>
          <w:color w:val="auto"/>
          <w:sz w:val="24"/>
          <w:szCs w:val="24"/>
          <w:highlight w:val="yellow"/>
          <w:u w:val="single"/>
          <w:lang w:val="en-US" w:eastAsia="zh-CN"/>
        </w:rPr>
        <w:t>3</w:t>
      </w:r>
      <w:r>
        <w:rPr>
          <w:rFonts w:ascii="微软雅黑" w:hAnsi="微软雅黑" w:eastAsia="微软雅黑" w:cs="微软雅黑"/>
          <w:color w:val="auto"/>
          <w:sz w:val="24"/>
          <w:szCs w:val="24"/>
          <w:u w:val="single"/>
          <w:lang w:val="en-US" w:eastAsia="zh-CN"/>
        </w:rPr>
        <w:t>日</w:t>
      </w:r>
      <w:r>
        <w:rPr>
          <w:rFonts w:hint="eastAsia" w:ascii="微软雅黑" w:hAnsi="微软雅黑" w:eastAsia="微软雅黑" w:cs="微软雅黑"/>
          <w:color w:val="auto"/>
          <w:sz w:val="24"/>
          <w:szCs w:val="24"/>
          <w:u w:val="single"/>
          <w:lang w:val="en-US" w:eastAsia="zh-CN"/>
        </w:rPr>
        <w:t>上午</w:t>
      </w:r>
      <w:r>
        <w:rPr>
          <w:rFonts w:ascii="微软雅黑" w:hAnsi="微软雅黑" w:eastAsia="微软雅黑" w:cs="微软雅黑"/>
          <w:color w:val="auto"/>
          <w:sz w:val="24"/>
          <w:szCs w:val="24"/>
          <w:u w:val="single"/>
          <w:lang w:val="en-US" w:eastAsia="zh-CN"/>
        </w:rPr>
        <w:t>09:</w:t>
      </w:r>
      <w:r>
        <w:rPr>
          <w:rFonts w:hint="eastAsia" w:ascii="微软雅黑" w:hAnsi="微软雅黑" w:eastAsia="微软雅黑" w:cs="微软雅黑"/>
          <w:color w:val="auto"/>
          <w:sz w:val="24"/>
          <w:szCs w:val="24"/>
          <w:u w:val="single"/>
          <w:lang w:val="en-US" w:eastAsia="zh-CN"/>
        </w:rPr>
        <w:t>0</w:t>
      </w:r>
      <w:r>
        <w:rPr>
          <w:rFonts w:ascii="微软雅黑" w:hAnsi="微软雅黑" w:eastAsia="微软雅黑" w:cs="微软雅黑"/>
          <w:color w:val="auto"/>
          <w:sz w:val="24"/>
          <w:szCs w:val="24"/>
          <w:u w:val="single"/>
          <w:lang w:val="en-US" w:eastAsia="zh-CN"/>
        </w:rPr>
        <w:t>0在</w:t>
      </w:r>
      <w:r>
        <w:rPr>
          <w:rFonts w:hint="eastAsia" w:ascii="微软雅黑" w:hAnsi="微软雅黑" w:eastAsia="微软雅黑" w:cs="微软雅黑"/>
          <w:sz w:val="24"/>
          <w:szCs w:val="24"/>
          <w:highlight w:val="yellow"/>
          <w:u w:val="none"/>
          <w:lang w:val="en-US" w:eastAsia="zh-CN"/>
        </w:rPr>
        <w:t>广西百矿新材料技术有限公司</w:t>
      </w:r>
      <w:r>
        <w:rPr>
          <w:rFonts w:ascii="微软雅黑" w:hAnsi="微软雅黑" w:eastAsia="微软雅黑" w:cs="微软雅黑"/>
          <w:color w:val="auto"/>
          <w:sz w:val="24"/>
          <w:szCs w:val="24"/>
          <w:highlight w:val="yellow"/>
          <w:lang w:val="en-US" w:eastAsia="zh-CN"/>
        </w:rPr>
        <w:t>会议室进行（</w:t>
      </w:r>
      <w:r>
        <w:rPr>
          <w:rFonts w:hint="eastAsia" w:ascii="微软雅黑" w:hAnsi="微软雅黑" w:eastAsia="微软雅黑" w:cs="微软雅黑"/>
          <w:color w:val="auto"/>
          <w:sz w:val="24"/>
          <w:szCs w:val="24"/>
          <w:highlight w:val="yellow"/>
          <w:lang w:val="en-US" w:eastAsia="zh-CN"/>
        </w:rPr>
        <w:t>或采用远程线上开标方式进行</w:t>
      </w:r>
      <w:r>
        <w:rPr>
          <w:rFonts w:ascii="微软雅黑" w:hAnsi="微软雅黑" w:eastAsia="微软雅黑" w:cs="微软雅黑"/>
          <w:color w:val="auto"/>
          <w:sz w:val="24"/>
          <w:szCs w:val="24"/>
          <w:highlight w:val="yellow"/>
          <w:lang w:val="en-US" w:eastAsia="zh-CN"/>
        </w:rPr>
        <w:t>）</w:t>
      </w:r>
      <w:r>
        <w:rPr>
          <w:rFonts w:ascii="微软雅黑" w:hAnsi="微软雅黑" w:eastAsia="微软雅黑" w:cs="微软雅黑"/>
          <w:color w:val="auto"/>
          <w:sz w:val="24"/>
          <w:szCs w:val="24"/>
          <w:lang w:val="en-US" w:eastAsia="zh-CN"/>
        </w:rPr>
        <w:t>，</w:t>
      </w:r>
      <w:r>
        <w:rPr>
          <w:rFonts w:hint="eastAsia" w:ascii="微软雅黑" w:hAnsi="微软雅黑" w:eastAsia="微软雅黑" w:cs="微软雅黑"/>
          <w:color w:val="auto"/>
          <w:kern w:val="2"/>
          <w:sz w:val="24"/>
          <w:szCs w:val="24"/>
          <w:lang w:val="en-US" w:eastAsia="zh-CN"/>
        </w:rPr>
        <w:t>须</w:t>
      </w:r>
      <w:r>
        <w:rPr>
          <w:rFonts w:ascii="微软雅黑" w:hAnsi="微软雅黑" w:eastAsia="微软雅黑" w:cs="微软雅黑"/>
          <w:color w:val="auto"/>
          <w:kern w:val="2"/>
          <w:sz w:val="24"/>
          <w:szCs w:val="24"/>
          <w:lang w:val="en-US" w:eastAsia="zh-CN"/>
        </w:rPr>
        <w:t>登录吉利汽车集团电子招标采购平台（https://glzb.geely.com）进行竞价。</w:t>
      </w:r>
    </w:p>
    <w:p>
      <w:pPr>
        <w:pStyle w:val="13"/>
        <w:bidi w:val="0"/>
        <w:rPr>
          <w:rFonts w:ascii="微软雅黑" w:hAnsi="微软雅黑" w:eastAsia="微软雅黑" w:cs="微软雅黑"/>
          <w:b/>
          <w:sz w:val="24"/>
          <w:szCs w:val="24"/>
        </w:rPr>
      </w:pPr>
      <w:bookmarkStart w:id="3" w:name="_Toc33189460"/>
      <w:r>
        <w:rPr>
          <w:rFonts w:ascii="微软雅黑" w:hAnsi="微软雅黑" w:eastAsia="微软雅黑" w:cs="微软雅黑"/>
          <w:b/>
          <w:sz w:val="24"/>
          <w:szCs w:val="24"/>
          <w:lang w:val="en-US" w:eastAsia="zh-CN"/>
        </w:rPr>
        <w:t>5</w:t>
      </w:r>
      <w:r>
        <w:rPr>
          <w:rFonts w:ascii="微软雅黑" w:hAnsi="微软雅黑" w:eastAsia="微软雅黑" w:cs="微软雅黑"/>
          <w:b/>
          <w:sz w:val="24"/>
          <w:szCs w:val="24"/>
        </w:rPr>
        <w:t>. 确认</w:t>
      </w:r>
      <w:bookmarkEnd w:id="3"/>
    </w:p>
    <w:p>
      <w:pPr>
        <w:pStyle w:val="9"/>
        <w:bidi w:val="0"/>
        <w:spacing w:line="400" w:lineRule="exact"/>
        <w:rPr>
          <w:rFonts w:ascii="微软雅黑" w:hAnsi="微软雅黑" w:eastAsia="微软雅黑" w:cs="微软雅黑"/>
          <w:sz w:val="24"/>
          <w:szCs w:val="24"/>
        </w:rPr>
      </w:pPr>
      <w:r>
        <w:rPr>
          <w:rFonts w:ascii="微软雅黑" w:hAnsi="微软雅黑" w:eastAsia="微软雅黑" w:cs="微软雅黑"/>
          <w:sz w:val="24"/>
        </w:rPr>
        <w:t xml:space="preserve">  </w:t>
      </w:r>
      <w:r>
        <w:rPr>
          <w:rFonts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5.1</w:t>
      </w:r>
      <w:r>
        <w:rPr>
          <w:rFonts w:ascii="微软雅黑" w:hAnsi="微软雅黑" w:eastAsia="微软雅黑" w:cs="微软雅黑"/>
          <w:sz w:val="24"/>
          <w:szCs w:val="24"/>
          <w:lang w:val="en-US" w:eastAsia="zh-CN"/>
        </w:rPr>
        <w:t>贵司</w:t>
      </w:r>
      <w:r>
        <w:rPr>
          <w:rFonts w:ascii="微软雅黑" w:hAnsi="微软雅黑" w:eastAsia="微软雅黑" w:cs="微软雅黑"/>
          <w:sz w:val="24"/>
          <w:szCs w:val="24"/>
        </w:rPr>
        <w:t>收到邀请书后</w:t>
      </w:r>
      <w:r>
        <w:rPr>
          <w:rFonts w:ascii="微软雅黑" w:hAnsi="微软雅黑" w:eastAsia="微软雅黑" w:cs="微软雅黑"/>
          <w:sz w:val="24"/>
          <w:szCs w:val="24"/>
          <w:highlight w:val="yellow"/>
        </w:rPr>
        <w:t>，请于</w:t>
      </w:r>
      <w:r>
        <w:rPr>
          <w:rFonts w:ascii="微软雅黑" w:hAnsi="微软雅黑" w:eastAsia="微软雅黑" w:cs="微软雅黑"/>
          <w:sz w:val="24"/>
          <w:szCs w:val="24"/>
          <w:highlight w:val="yellow"/>
          <w:u w:val="single"/>
        </w:rPr>
        <w:t xml:space="preserve"> </w:t>
      </w:r>
      <w:r>
        <w:rPr>
          <w:rFonts w:ascii="微软雅黑" w:hAnsi="微软雅黑" w:eastAsia="微软雅黑" w:cs="微软雅黑"/>
          <w:sz w:val="24"/>
          <w:szCs w:val="24"/>
          <w:highlight w:val="yellow"/>
          <w:u w:val="single"/>
          <w:lang w:val="en-US" w:eastAsia="zh-CN"/>
        </w:rPr>
        <w:t>202</w:t>
      </w:r>
      <w:r>
        <w:rPr>
          <w:rFonts w:hint="eastAsia" w:ascii="微软雅黑" w:hAnsi="微软雅黑" w:eastAsia="微软雅黑" w:cs="微软雅黑"/>
          <w:sz w:val="24"/>
          <w:szCs w:val="24"/>
          <w:highlight w:val="yellow"/>
          <w:u w:val="single"/>
          <w:lang w:val="en-US" w:eastAsia="zh-CN"/>
        </w:rPr>
        <w:t>3</w:t>
      </w:r>
      <w:r>
        <w:rPr>
          <w:rFonts w:ascii="微软雅黑" w:hAnsi="微软雅黑" w:eastAsia="微软雅黑" w:cs="微软雅黑"/>
          <w:sz w:val="24"/>
          <w:szCs w:val="24"/>
          <w:highlight w:val="yellow"/>
          <w:u w:val="single"/>
        </w:rPr>
        <w:t xml:space="preserve"> </w:t>
      </w:r>
      <w:r>
        <w:rPr>
          <w:rFonts w:ascii="微软雅黑" w:hAnsi="微软雅黑" w:eastAsia="微软雅黑" w:cs="微软雅黑"/>
          <w:sz w:val="24"/>
          <w:szCs w:val="24"/>
          <w:highlight w:val="yellow"/>
        </w:rPr>
        <w:t>年</w:t>
      </w:r>
      <w:r>
        <w:rPr>
          <w:rFonts w:hint="eastAsia" w:ascii="微软雅黑" w:hAnsi="微软雅黑" w:eastAsia="微软雅黑" w:cs="微软雅黑"/>
          <w:sz w:val="24"/>
          <w:szCs w:val="24"/>
          <w:highlight w:val="yellow"/>
          <w:u w:val="single"/>
          <w:lang w:val="en-US" w:eastAsia="zh-CN"/>
        </w:rPr>
        <w:t>3</w:t>
      </w:r>
      <w:r>
        <w:rPr>
          <w:rFonts w:ascii="微软雅黑" w:hAnsi="微软雅黑" w:eastAsia="微软雅黑" w:cs="微软雅黑"/>
          <w:sz w:val="24"/>
          <w:szCs w:val="24"/>
          <w:highlight w:val="yellow"/>
        </w:rPr>
        <w:t>月</w:t>
      </w:r>
      <w:r>
        <w:rPr>
          <w:rFonts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highlight w:val="yellow"/>
          <w:u w:val="single"/>
          <w:lang w:val="en-US" w:eastAsia="zh-CN"/>
        </w:rPr>
        <w:t>2</w:t>
      </w:r>
      <w:r>
        <w:rPr>
          <w:rFonts w:ascii="微软雅黑" w:hAnsi="微软雅黑" w:eastAsia="微软雅黑" w:cs="微软雅黑"/>
          <w:sz w:val="24"/>
          <w:szCs w:val="24"/>
          <w:highlight w:val="yellow"/>
          <w:u w:val="single"/>
          <w:lang w:val="en-US" w:eastAsia="zh-CN"/>
        </w:rPr>
        <w:t xml:space="preserve"> </w:t>
      </w:r>
      <w:r>
        <w:rPr>
          <w:rFonts w:ascii="微软雅黑" w:hAnsi="微软雅黑" w:eastAsia="微软雅黑" w:cs="微软雅黑"/>
          <w:sz w:val="24"/>
          <w:szCs w:val="24"/>
          <w:highlight w:val="yellow"/>
        </w:rPr>
        <w:t>日</w:t>
      </w:r>
      <w:r>
        <w:rPr>
          <w:rFonts w:ascii="微软雅黑" w:hAnsi="微软雅黑" w:eastAsia="微软雅黑" w:cs="微软雅黑"/>
          <w:sz w:val="24"/>
          <w:szCs w:val="24"/>
          <w:highlight w:val="yellow"/>
          <w:u w:val="single"/>
        </w:rPr>
        <w:t xml:space="preserve"> </w:t>
      </w:r>
      <w:r>
        <w:rPr>
          <w:rFonts w:ascii="微软雅黑" w:hAnsi="微软雅黑" w:eastAsia="微软雅黑" w:cs="微软雅黑"/>
          <w:sz w:val="24"/>
          <w:szCs w:val="24"/>
          <w:highlight w:val="yellow"/>
          <w:u w:val="single"/>
          <w:lang w:val="en-US" w:eastAsia="zh-CN"/>
        </w:rPr>
        <w:t>16</w:t>
      </w:r>
      <w:r>
        <w:rPr>
          <w:rFonts w:ascii="微软雅黑" w:hAnsi="微软雅黑" w:eastAsia="微软雅黑" w:cs="微软雅黑"/>
          <w:sz w:val="24"/>
          <w:szCs w:val="24"/>
          <w:highlight w:val="yellow"/>
          <w:u w:val="single"/>
        </w:rPr>
        <w:t xml:space="preserve"> </w:t>
      </w:r>
      <w:r>
        <w:rPr>
          <w:rFonts w:ascii="微软雅黑" w:hAnsi="微软雅黑" w:eastAsia="微软雅黑" w:cs="微软雅黑"/>
          <w:sz w:val="24"/>
          <w:szCs w:val="24"/>
          <w:highlight w:val="yellow"/>
        </w:rPr>
        <w:t>时</w:t>
      </w:r>
      <w:r>
        <w:rPr>
          <w:rFonts w:ascii="微软雅黑" w:hAnsi="微软雅黑" w:eastAsia="微软雅黑" w:cs="微软雅黑"/>
          <w:b w:val="0"/>
          <w:bCs w:val="0"/>
          <w:sz w:val="24"/>
          <w:szCs w:val="24"/>
          <w:highlight w:val="yellow"/>
        </w:rPr>
        <w:t>前</w:t>
      </w:r>
      <w:r>
        <w:rPr>
          <w:rFonts w:ascii="微软雅黑" w:hAnsi="微软雅黑" w:eastAsia="微软雅黑" w:cs="微软雅黑"/>
          <w:b w:val="0"/>
          <w:bCs w:val="0"/>
          <w:sz w:val="24"/>
          <w:szCs w:val="24"/>
        </w:rPr>
        <w:t>将确认通知</w:t>
      </w:r>
      <w:r>
        <w:rPr>
          <w:rFonts w:ascii="微软雅黑" w:hAnsi="微软雅黑" w:eastAsia="微软雅黑" w:cs="微软雅黑"/>
          <w:b w:val="0"/>
          <w:bCs w:val="0"/>
          <w:sz w:val="24"/>
          <w:szCs w:val="24"/>
          <w:lang w:eastAsia="zh-CN"/>
        </w:rPr>
        <w:t>及投标人</w:t>
      </w:r>
      <w:r>
        <w:rPr>
          <w:rFonts w:hint="eastAsia" w:ascii="微软雅黑" w:hAnsi="微软雅黑" w:eastAsia="微软雅黑" w:cs="微软雅黑"/>
          <w:b w:val="0"/>
          <w:bCs w:val="0"/>
          <w:sz w:val="24"/>
          <w:szCs w:val="24"/>
          <w:lang w:val="en-US" w:eastAsia="zh-CN"/>
        </w:rPr>
        <w:t>资格</w:t>
      </w:r>
      <w:r>
        <w:rPr>
          <w:rFonts w:ascii="微软雅黑" w:hAnsi="微软雅黑" w:eastAsia="微软雅黑" w:cs="微软雅黑"/>
          <w:b w:val="0"/>
          <w:bCs w:val="0"/>
          <w:sz w:val="24"/>
          <w:szCs w:val="24"/>
          <w:lang w:eastAsia="zh-CN"/>
        </w:rPr>
        <w:t>要求资料</w:t>
      </w:r>
      <w:r>
        <w:rPr>
          <w:rFonts w:ascii="微软雅黑" w:hAnsi="微软雅黑" w:eastAsia="微软雅黑" w:cs="微软雅黑"/>
          <w:b w:val="0"/>
          <w:bCs w:val="0"/>
          <w:sz w:val="24"/>
          <w:szCs w:val="24"/>
        </w:rPr>
        <w:t>以</w:t>
      </w:r>
      <w:r>
        <w:rPr>
          <w:rFonts w:ascii="微软雅黑" w:hAnsi="微软雅黑" w:eastAsia="微软雅黑" w:cs="微软雅黑"/>
          <w:sz w:val="24"/>
          <w:szCs w:val="24"/>
        </w:rPr>
        <w:t>邮件方式反馈给招标人商务人员，以确认</w:t>
      </w:r>
      <w:r>
        <w:rPr>
          <w:rFonts w:ascii="微软雅黑" w:hAnsi="微软雅黑" w:eastAsia="微软雅黑" w:cs="微软雅黑"/>
          <w:sz w:val="24"/>
          <w:szCs w:val="24"/>
          <w:lang w:eastAsia="zh-CN"/>
        </w:rPr>
        <w:t>能</w:t>
      </w:r>
      <w:r>
        <w:rPr>
          <w:rFonts w:ascii="微软雅黑" w:hAnsi="微软雅黑" w:eastAsia="微软雅黑" w:cs="微软雅黑"/>
          <w:sz w:val="24"/>
          <w:szCs w:val="24"/>
        </w:rPr>
        <w:t>否参加投标。在本投标邀请书规定的时间内未表示是否参加，明确表示不参加投标的，不得再参加投标。</w:t>
      </w:r>
    </w:p>
    <w:p>
      <w:pPr>
        <w:pStyle w:val="9"/>
        <w:bidi w:val="0"/>
        <w:spacing w:line="400" w:lineRule="exact"/>
        <w:ind w:firstLine="240" w:firstLineChars="1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5.2</w:t>
      </w:r>
      <w:r>
        <w:rPr>
          <w:rFonts w:ascii="微软雅黑" w:hAnsi="微软雅黑" w:eastAsia="微软雅黑" w:cs="华文仿宋"/>
          <w:bCs/>
          <w:color w:val="auto"/>
          <w:sz w:val="24"/>
          <w:szCs w:val="24"/>
        </w:rPr>
        <w:t>凡有意参加报名的投标人，请到</w:t>
      </w:r>
      <w:r>
        <w:rPr>
          <w:rFonts w:hint="eastAsia" w:ascii="微软雅黑" w:hAnsi="微软雅黑" w:eastAsia="微软雅黑" w:cs="华文仿宋"/>
          <w:bCs/>
          <w:color w:val="auto"/>
          <w:sz w:val="24"/>
          <w:szCs w:val="24"/>
        </w:rPr>
        <w:t>吉利</w:t>
      </w:r>
      <w:r>
        <w:rPr>
          <w:rFonts w:ascii="微软雅黑" w:hAnsi="微软雅黑" w:eastAsia="微软雅黑" w:cs="华文仿宋"/>
          <w:bCs/>
          <w:color w:val="auto"/>
          <w:sz w:val="24"/>
          <w:szCs w:val="24"/>
        </w:rPr>
        <w:t>电子招标采购平台（</w:t>
      </w:r>
      <w:r>
        <w:rPr>
          <w:rFonts w:ascii="微软雅黑" w:hAnsi="微软雅黑" w:eastAsia="微软雅黑" w:cs="微软雅黑"/>
          <w:color w:val="auto"/>
          <w:sz w:val="24"/>
          <w:szCs w:val="24"/>
          <w:u w:val="single"/>
          <w:lang w:val="en-US" w:eastAsia="zh-CN"/>
        </w:rPr>
        <w:t>https://glzb.geely.com</w:t>
      </w:r>
      <w:r>
        <w:rPr>
          <w:rFonts w:ascii="微软雅黑" w:hAnsi="微软雅黑" w:eastAsia="微软雅黑" w:cs="华文仿宋"/>
          <w:bCs/>
          <w:color w:val="auto"/>
          <w:sz w:val="24"/>
          <w:szCs w:val="24"/>
        </w:rPr>
        <w:t>）注册报名</w:t>
      </w:r>
      <w:r>
        <w:rPr>
          <w:rFonts w:hint="eastAsia" w:ascii="微软雅黑" w:hAnsi="微软雅黑" w:eastAsia="微软雅黑" w:cs="华文仿宋"/>
          <w:bCs/>
          <w:color w:val="auto"/>
          <w:sz w:val="24"/>
          <w:szCs w:val="24"/>
          <w:lang w:val="en-US" w:eastAsia="zh-CN"/>
        </w:rPr>
        <w:t>并下载招标文件。</w:t>
      </w:r>
    </w:p>
    <w:p>
      <w:pPr>
        <w:pStyle w:val="13"/>
        <w:numPr>
          <w:ilvl w:val="0"/>
          <w:numId w:val="2"/>
        </w:numPr>
        <w:bidi w:val="0"/>
        <w:rPr>
          <w:rFonts w:ascii="微软雅黑" w:hAnsi="微软雅黑" w:eastAsia="微软雅黑" w:cs="微软雅黑"/>
          <w:b/>
          <w:sz w:val="24"/>
          <w:szCs w:val="24"/>
        </w:rPr>
      </w:pPr>
      <w:bookmarkStart w:id="4" w:name="_Toc33189461"/>
      <w:r>
        <w:rPr>
          <w:rFonts w:ascii="微软雅黑" w:hAnsi="微软雅黑" w:eastAsia="微软雅黑" w:cs="微软雅黑"/>
          <w:b/>
          <w:sz w:val="24"/>
          <w:szCs w:val="24"/>
        </w:rPr>
        <w:t>联系方式</w:t>
      </w:r>
      <w:bookmarkEnd w:id="4"/>
    </w:p>
    <w:p>
      <w:pPr>
        <w:pStyle w:val="9"/>
        <w:bidi w:val="0"/>
        <w:spacing w:line="4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商务联系人：</w:t>
      </w:r>
    </w:p>
    <w:p>
      <w:pPr>
        <w:pStyle w:val="9"/>
        <w:bidi w:val="0"/>
        <w:spacing w:line="4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卢华合   手机号：18077618764                E-mail :  </w:t>
      </w:r>
    </w:p>
    <w:p>
      <w:pPr>
        <w:pStyle w:val="9"/>
        <w:bidi w:val="0"/>
        <w:spacing w:line="4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技术联系人：</w:t>
      </w:r>
    </w:p>
    <w:p>
      <w:pPr>
        <w:pStyle w:val="9"/>
        <w:bidi w:val="0"/>
        <w:spacing w:line="4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宁经理  手机号：15978069195                 E-mail : </w:t>
      </w:r>
    </w:p>
    <w:p>
      <w:pPr>
        <w:pStyle w:val="9"/>
        <w:bidi w:val="0"/>
        <w:spacing w:line="4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注：无论投标结果如何，投标人自行承担所有与参加投标活动有关的全部费用。</w:t>
      </w:r>
    </w:p>
    <w:p>
      <w:pPr>
        <w:pStyle w:val="9"/>
        <w:bidi w:val="0"/>
        <w:spacing w:line="4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投诉、举报电话：0571-28098168（吉利科技工程与商务发展部）</w:t>
      </w:r>
    </w:p>
    <w:p>
      <w:pPr>
        <w:pStyle w:val="9"/>
        <w:bidi w:val="0"/>
        <w:spacing w:line="400" w:lineRule="exact"/>
        <w:rPr>
          <w:rFonts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举报邮箱：geelytech.bid@geely.com</w:t>
      </w:r>
    </w:p>
    <w:p>
      <w:pPr>
        <w:pStyle w:val="12"/>
        <w:bidi w:val="0"/>
        <w:jc w:val="left"/>
        <w:rPr>
          <w:rFonts w:ascii="微软雅黑" w:hAnsi="微软雅黑" w:eastAsia="微软雅黑" w:cs="微软雅黑"/>
          <w:sz w:val="24"/>
          <w:szCs w:val="24"/>
          <w:lang w:val="en-US" w:eastAsia="zh-CN"/>
        </w:rPr>
      </w:pPr>
    </w:p>
    <w:p>
      <w:pPr>
        <w:pStyle w:val="12"/>
        <w:bidi w:val="0"/>
        <w:jc w:val="left"/>
        <w:rPr>
          <w:rFonts w:ascii="微软雅黑" w:hAnsi="微软雅黑" w:eastAsia="微软雅黑" w:cs="微软雅黑"/>
          <w:sz w:val="24"/>
          <w:szCs w:val="24"/>
          <w:lang w:val="en-US" w:eastAsia="zh-CN"/>
        </w:rPr>
      </w:pPr>
    </w:p>
    <w:p>
      <w:pPr>
        <w:pStyle w:val="12"/>
        <w:bidi w:val="0"/>
        <w:ind w:firstLine="0"/>
        <w:jc w:val="left"/>
        <w:rPr>
          <w:rFonts w:ascii="微软雅黑" w:hAnsi="微软雅黑" w:eastAsia="微软雅黑" w:cs="微软雅黑"/>
          <w:sz w:val="24"/>
          <w:szCs w:val="24"/>
          <w:lang w:val="en-US" w:eastAsia="zh-CN"/>
        </w:rPr>
      </w:pPr>
      <w:r>
        <w:rPr>
          <w:rFonts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广西百矿新材料技术有限公司</w:t>
      </w:r>
    </w:p>
    <w:p>
      <w:pPr>
        <w:pStyle w:val="12"/>
        <w:bidi w:val="0"/>
        <w:ind w:firstLine="0"/>
        <w:jc w:val="left"/>
        <w:rPr>
          <w:rFonts w:ascii="微软雅黑" w:hAnsi="微软雅黑" w:eastAsia="微软雅黑" w:cs="微软雅黑"/>
          <w:b/>
          <w:sz w:val="24"/>
          <w:szCs w:val="24"/>
        </w:rPr>
      </w:pPr>
      <w:r>
        <w:rPr>
          <w:rFonts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CN"/>
        </w:rPr>
        <w:t>2023</w:t>
      </w:r>
      <w:r>
        <w:rPr>
          <w:rFonts w:ascii="微软雅黑" w:hAnsi="微软雅黑" w:eastAsia="微软雅黑" w:cs="微软雅黑"/>
          <w:sz w:val="24"/>
          <w:szCs w:val="24"/>
          <w:lang w:val="en-US" w:eastAsia="zh-CN"/>
        </w:rPr>
        <w:t>年</w:t>
      </w:r>
      <w:r>
        <w:rPr>
          <w:rFonts w:hint="eastAsia" w:ascii="微软雅黑" w:hAnsi="微软雅黑" w:eastAsia="微软雅黑" w:cs="微软雅黑"/>
          <w:sz w:val="24"/>
          <w:szCs w:val="24"/>
          <w:lang w:val="en-US" w:eastAsia="zh-CN"/>
        </w:rPr>
        <w:t>2</w:t>
      </w:r>
      <w:r>
        <w:rPr>
          <w:rFonts w:ascii="微软雅黑" w:hAnsi="微软雅黑" w:eastAsia="微软雅黑" w:cs="微软雅黑"/>
          <w:sz w:val="24"/>
          <w:szCs w:val="24"/>
          <w:lang w:val="en-US" w:eastAsia="zh-CN"/>
        </w:rPr>
        <w:t>月</w:t>
      </w:r>
      <w:r>
        <w:rPr>
          <w:rFonts w:hint="eastAsia" w:ascii="微软雅黑" w:hAnsi="微软雅黑" w:eastAsia="微软雅黑" w:cs="微软雅黑"/>
          <w:sz w:val="24"/>
          <w:szCs w:val="24"/>
          <w:lang w:val="en-US" w:eastAsia="zh-CN"/>
        </w:rPr>
        <w:t>24</w:t>
      </w:r>
      <w:bookmarkStart w:id="5" w:name="_GoBack"/>
      <w:bookmarkEnd w:id="5"/>
      <w:r>
        <w:rPr>
          <w:rFonts w:ascii="微软雅黑" w:hAnsi="微软雅黑" w:eastAsia="微软雅黑" w:cs="微软雅黑"/>
          <w:sz w:val="24"/>
          <w:szCs w:val="24"/>
          <w:lang w:val="en-US" w:eastAsia="zh-CN"/>
        </w:rPr>
        <w:t>日</w:t>
      </w:r>
    </w:p>
    <w:sectPr>
      <w:footerReference r:id="rId3" w:type="default"/>
      <w:pgSz w:w="11906" w:h="16838"/>
      <w:pgMar w:top="1440" w:right="1800" w:bottom="1440" w:left="1800" w:header="0" w:footer="992" w:gutter="0"/>
      <w:pgNumType w:fmt="decimal" w:start="1"/>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bidi w:val="0"/>
      <w:jc w:val="center"/>
    </w:pPr>
    <w:r>
      <w:rPr>
        <w:rStyle w:val="8"/>
      </w:rPr>
      <w:fldChar w:fldCharType="begin"/>
    </w:r>
    <w:r>
      <w:rPr>
        <w:rStyle w:val="8"/>
      </w:rPr>
      <w:instrText xml:space="preserve">PAGE</w:instrText>
    </w:r>
    <w:r>
      <w:rPr>
        <w:rStyle w:val="8"/>
      </w:rPr>
      <w:fldChar w:fldCharType="separate"/>
    </w:r>
    <w:r>
      <w:rPr>
        <w:rStyle w:val="8"/>
      </w:rPr>
      <w:t>2</w:t>
    </w:r>
    <w:r>
      <w:rPr>
        <w:rStyle w:val="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6"/>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53208E"/>
    <w:multiLevelType w:val="multilevel"/>
    <w:tmpl w:val="0053208E"/>
    <w:lvl w:ilvl="0" w:tentative="0">
      <w:start w:val="2"/>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displayHorizontalDrawingGridEvery w:val="1"/>
  <w:displayVerticalDrawingGridEvery w:val="1"/>
  <w:noPunctuationKerning w:val="1"/>
  <w:compat>
    <w:balanceSingleByteDoubleByteWidth/>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WZiMzA2ZmVlNjFiYmQ4MWY3YmU5N2E0YTdlMzUifQ=="/>
  </w:docVars>
  <w:rsids>
    <w:rsidRoot w:val="00000000"/>
    <w:rsid w:val="036719ED"/>
    <w:rsid w:val="05C928ED"/>
    <w:rsid w:val="08703D55"/>
    <w:rsid w:val="0CAB0827"/>
    <w:rsid w:val="169C4C7A"/>
    <w:rsid w:val="1912755E"/>
    <w:rsid w:val="1A1A4C39"/>
    <w:rsid w:val="1AC07CB6"/>
    <w:rsid w:val="21D73768"/>
    <w:rsid w:val="24FE4493"/>
    <w:rsid w:val="26D47FB5"/>
    <w:rsid w:val="2EA2789C"/>
    <w:rsid w:val="33DF357C"/>
    <w:rsid w:val="34CC23A6"/>
    <w:rsid w:val="35DC5E82"/>
    <w:rsid w:val="37005DA3"/>
    <w:rsid w:val="37B310DC"/>
    <w:rsid w:val="38D7539E"/>
    <w:rsid w:val="3F852F62"/>
    <w:rsid w:val="404B69FF"/>
    <w:rsid w:val="41F409EF"/>
    <w:rsid w:val="466E0B4A"/>
    <w:rsid w:val="49277836"/>
    <w:rsid w:val="49EC72E5"/>
    <w:rsid w:val="4A875EAD"/>
    <w:rsid w:val="4E45138C"/>
    <w:rsid w:val="55C20E06"/>
    <w:rsid w:val="56E97E8B"/>
    <w:rsid w:val="5D8308C4"/>
    <w:rsid w:val="640733DA"/>
    <w:rsid w:val="64235CA0"/>
    <w:rsid w:val="672371E3"/>
    <w:rsid w:val="6DBB6AE2"/>
    <w:rsid w:val="74E346E9"/>
    <w:rsid w:val="75B57974"/>
    <w:rsid w:val="75F433A0"/>
    <w:rsid w:val="78150564"/>
    <w:rsid w:val="7F585A98"/>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hi-I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2"/>
    <w:basedOn w:val="1"/>
    <w:qFormat/>
    <w:uiPriority w:val="99"/>
    <w:pPr>
      <w:ind w:firstLine="643" w:firstLineChars="201"/>
    </w:pPr>
    <w:rPr>
      <w:rFonts w:ascii="楷体_GB231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码1"/>
    <w:basedOn w:val="7"/>
    <w:qFormat/>
    <w:uiPriority w:val="0"/>
  </w:style>
  <w:style w:type="paragraph" w:customStyle="1" w:styleId="9">
    <w:name w:val="正文1"/>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10">
    <w:name w:val="标题 21"/>
    <w:basedOn w:val="9"/>
    <w:next w:val="9"/>
    <w:qFormat/>
    <w:uiPriority w:val="9"/>
    <w:pPr>
      <w:keepNext/>
      <w:keepLines/>
      <w:spacing w:before="260" w:after="260" w:line="415" w:lineRule="auto"/>
      <w:outlineLvl w:val="1"/>
    </w:pPr>
    <w:rPr>
      <w:rFonts w:ascii="Arial" w:hAnsi="Arial" w:eastAsia="黑体"/>
      <w:b/>
      <w:bCs/>
      <w:sz w:val="32"/>
      <w:szCs w:val="32"/>
    </w:rPr>
  </w:style>
  <w:style w:type="paragraph" w:customStyle="1" w:styleId="11">
    <w:name w:val="页脚1"/>
    <w:basedOn w:val="9"/>
    <w:qFormat/>
    <w:uiPriority w:val="0"/>
    <w:pPr>
      <w:tabs>
        <w:tab w:val="center" w:pos="4153"/>
        <w:tab w:val="right" w:pos="8306"/>
      </w:tabs>
      <w:snapToGrid w:val="0"/>
      <w:jc w:val="left"/>
    </w:pPr>
    <w:rPr>
      <w:sz w:val="18"/>
      <w:szCs w:val="18"/>
    </w:rPr>
  </w:style>
  <w:style w:type="paragraph" w:customStyle="1" w:styleId="12">
    <w:name w:val="Default"/>
    <w:next w:val="9"/>
    <w:qFormat/>
    <w:uiPriority w:val="0"/>
    <w:pPr>
      <w:widowControl w:val="0"/>
      <w:suppressAutoHyphens w:val="0"/>
      <w:bidi w:val="0"/>
      <w:spacing w:before="0" w:after="0"/>
      <w:jc w:val="left"/>
    </w:pPr>
    <w:rPr>
      <w:rFonts w:ascii="宋体" w:hAnsi="宋体" w:eastAsia="宋体" w:cs="宋体"/>
      <w:color w:val="000000"/>
      <w:kern w:val="0"/>
      <w:sz w:val="24"/>
      <w:szCs w:val="24"/>
      <w:lang w:val="en-US" w:eastAsia="zh-CN" w:bidi="ar-SA"/>
    </w:rPr>
  </w:style>
  <w:style w:type="paragraph" w:customStyle="1" w:styleId="13">
    <w:name w:val="样式 标题 2 + Times New Roman 四号 非加粗 段前: 5 磅 段后: 0 磅 行距: 固定值 20..."/>
    <w:basedOn w:val="10"/>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F67F-F113-4E33-A20B-154D52B060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953</Words>
  <Characters>1103</Characters>
  <Paragraphs>23</Paragraphs>
  <TotalTime>17</TotalTime>
  <ScaleCrop>false</ScaleCrop>
  <LinksUpToDate>false</LinksUpToDate>
  <CharactersWithSpaces>1255</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2020-02-26T05:27:00Z</dcterms:created>
  <dc:creator>葛绍邦(Shaobang Ge)</dc:creator>
  <cp:lastModifiedBy>合子</cp:lastModifiedBy>
  <dcterms:modified xsi:type="dcterms:W3CDTF">2023-02-28T07:59:40Z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DC38DB7DECA3433096B370EAFBB18A99</vt:lpwstr>
  </property>
  <property fmtid="{D5CDD505-2E9C-101B-9397-08002B2CF9AE}" pid="3" name="KSOProductBuildVer">
    <vt:lpwstr>2052-11.1.0.12763</vt:lpwstr>
  </property>
</Properties>
</file>