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2400" w:firstLineChars="500"/>
        <w:jc w:val="both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百矿新材料前处理药剂技术标准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7"/>
        <w:tblpPr w:leftFromText="180" w:rightFromText="180" w:vertAnchor="text" w:horzAnchor="page" w:tblpX="1072" w:tblpY="222"/>
        <w:tblOverlap w:val="never"/>
        <w:tblW w:w="44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825"/>
        <w:gridCol w:w="307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4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属性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技术规格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4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酸洗剂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游离酸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16.6-18.6 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4" w:type="pct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无铬钝化剂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密度20℃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1.05-1.07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g/cm3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总酸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9.9-11.1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游离酸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3.4-4.2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无铬钝化剂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添加剂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密度20℃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1.01-1.03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g/cm3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总酸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6.5-7.1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游离酸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0.7-1.3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氟离子ppm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625.0-685.0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脱脂剂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PH（5%,20℃）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9.8-10.3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总碱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3.4-4.0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表面活性剂</w:t>
            </w:r>
          </w:p>
        </w:tc>
        <w:tc>
          <w:tcPr>
            <w:tcW w:w="1878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浊点1%</w:t>
            </w:r>
          </w:p>
        </w:tc>
        <w:tc>
          <w:tcPr>
            <w:tcW w:w="1510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33.0-38.0</w:t>
            </w:r>
          </w:p>
        </w:tc>
        <w:tc>
          <w:tcPr>
            <w:tcW w:w="736" w:type="pct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℃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line="198" w:lineRule="exact"/>
        <w:ind w:left="152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1335"/>
        </w:tabs>
        <w:bidi w:val="0"/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5" w:type="default"/>
      <w:type w:val="continuous"/>
      <w:pgSz w:w="11900" w:h="16840"/>
      <w:pgMar w:top="480" w:right="440" w:bottom="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="宋体"/>
        <w:lang w:eastAsia="zh-CN"/>
      </w:rPr>
      <w:drawing>
        <wp:inline distT="0" distB="0" distL="114300" distR="114300">
          <wp:extent cx="1137920" cy="311150"/>
          <wp:effectExtent l="0" t="0" r="5080" b="12700"/>
          <wp:docPr id="2" name="图片 2" descr="jlbk透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jlbk透明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92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WYxMjIyZDFhNWVmZTRhODBhZTEzZGUwNmE4YTIifQ=="/>
  </w:docVars>
  <w:rsids>
    <w:rsidRoot w:val="00000000"/>
    <w:rsid w:val="383552C8"/>
    <w:rsid w:val="3BD302D1"/>
    <w:rsid w:val="65EA7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2"/>
      <w:outlineLvl w:val="1"/>
    </w:pPr>
    <w:rPr>
      <w:rFonts w:ascii="宋体" w:hAnsi="宋体" w:eastAsia="宋体" w:cs="宋体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5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208</Characters>
  <TotalTime>1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2023-02-18T09:33:00Z</dcterms:created>
  <dc:creator>MILANOPOD </dc:creator>
  <cp:lastModifiedBy>百矿优秀员工</cp:lastModifiedBy>
  <dcterms:modified xsi:type="dcterms:W3CDTF">2023-03-02T07:16:14Z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Form Z_QCERT_HOR_AP ZH</vt:lpwstr>
  </property>
  <property fmtid="{D5CDD505-2E9C-101B-9397-08002B2CF9AE}" pid="4" name="LastSaved">
    <vt:filetime>2023-02-18T00:00:00Z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6074DFC9CDB24E2DAE8B6D63F02E1553</vt:lpwstr>
  </property>
</Properties>
</file>