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30"/>
        </w:tabs>
        <w:spacing w:line="240" w:lineRule="auto"/>
        <w:jc w:val="center"/>
        <w:outlineLvl w:val="1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  <w:bookmarkStart w:id="0" w:name="_Toc30699"/>
      <w:bookmarkStart w:id="1" w:name="_Toc21682"/>
      <w:bookmarkStart w:id="2" w:name="_Toc274559602"/>
      <w:bookmarkStart w:id="3" w:name="_Toc476222788"/>
    </w:p>
    <w:p>
      <w:pPr>
        <w:tabs>
          <w:tab w:val="left" w:pos="5130"/>
        </w:tabs>
        <w:spacing w:line="240" w:lineRule="auto"/>
        <w:jc w:val="center"/>
        <w:outlineLvl w:val="1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</w:p>
    <w:p>
      <w:pPr>
        <w:tabs>
          <w:tab w:val="left" w:pos="5130"/>
        </w:tabs>
        <w:spacing w:line="240" w:lineRule="auto"/>
        <w:jc w:val="center"/>
        <w:outlineLvl w:val="1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 xml:space="preserve"> 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bookmarkEnd w:id="0"/>
    <w:bookmarkEnd w:id="1"/>
    <w:p>
      <w:pPr>
        <w:tabs>
          <w:tab w:val="left" w:pos="5130"/>
        </w:tabs>
        <w:spacing w:line="600" w:lineRule="auto"/>
        <w:jc w:val="center"/>
        <w:outlineLvl w:val="1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广西百矿新材料技术有限公司</w:t>
      </w:r>
    </w:p>
    <w:p>
      <w:pPr>
        <w:tabs>
          <w:tab w:val="left" w:pos="5130"/>
        </w:tabs>
        <w:spacing w:line="600" w:lineRule="auto"/>
        <w:jc w:val="center"/>
        <w:outlineLvl w:val="1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sz w:val="44"/>
          <w:szCs w:val="44"/>
        </w:rPr>
        <w:t>年铝轮毂项目</w:t>
      </w:r>
    </w:p>
    <w:p>
      <w:pPr>
        <w:tabs>
          <w:tab w:val="left" w:pos="5130"/>
        </w:tabs>
        <w:spacing w:line="600" w:lineRule="auto"/>
        <w:jc w:val="center"/>
        <w:outlineLvl w:val="1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机加用工装检具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技术任务书</w:t>
      </w:r>
    </w:p>
    <w:p>
      <w:pPr>
        <w:tabs>
          <w:tab w:val="left" w:pos="5130"/>
        </w:tabs>
        <w:spacing w:line="600" w:lineRule="auto"/>
        <w:jc w:val="center"/>
        <w:outlineLvl w:val="1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bookmarkStart w:id="6" w:name="_GoBack"/>
      <w:bookmarkEnd w:id="6"/>
    </w:p>
    <w:p>
      <w:pPr>
        <w:pStyle w:val="2"/>
        <w:rPr>
          <w:rFonts w:hint="eastAsia" w:ascii="宋体" w:hAnsi="宋体" w:eastAsia="宋体" w:cs="宋体"/>
          <w:lang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</w:p>
    <w:p>
      <w:pPr>
        <w:spacing w:before="156" w:beforeLines="50" w:line="360" w:lineRule="auto"/>
        <w:ind w:firstLine="2711" w:firstLineChars="900"/>
        <w:rPr>
          <w:rFonts w:hint="eastAsia" w:ascii="宋体" w:hAnsi="宋体" w:eastAsia="宋体" w:cs="宋体"/>
          <w:b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编制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               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spacing w:before="156" w:beforeLines="50" w:line="360" w:lineRule="auto"/>
        <w:ind w:firstLine="446" w:firstLineChars="148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               批准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               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广西百矿新材料技术有限公司</w:t>
      </w:r>
    </w:p>
    <w:p>
      <w:pPr>
        <w:pStyle w:val="2"/>
        <w:tabs>
          <w:tab w:val="left" w:pos="1139"/>
          <w:tab w:val="center" w:pos="4153"/>
        </w:tabs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日期：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2023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年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 月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02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  日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kern w:val="2"/>
          <w:sz w:val="21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广西百矿新材料技术有限公司202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年铝轮毂项目机加用工装检具招标采购技术任务书</w:t>
      </w:r>
      <w:r>
        <w:rPr>
          <w:rFonts w:hint="eastAsia" w:ascii="宋体" w:hAnsi="宋体" w:eastAsia="宋体" w:cs="宋体"/>
          <w:sz w:val="28"/>
          <w:szCs w:val="28"/>
        </w:rPr>
        <w:t>本</w:t>
      </w:r>
    </w:p>
    <w:p>
      <w:pPr>
        <w:numPr>
          <w:ilvl w:val="0"/>
          <w:numId w:val="0"/>
        </w:numPr>
        <w:spacing w:after="240" w:line="48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概述</w:t>
      </w:r>
      <w:bookmarkEnd w:id="2"/>
      <w:bookmarkEnd w:id="3"/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技术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任务</w:t>
      </w:r>
      <w:r>
        <w:rPr>
          <w:rFonts w:hint="eastAsia" w:ascii="宋体" w:hAnsi="宋体" w:eastAsia="宋体" w:cs="宋体"/>
          <w:sz w:val="28"/>
          <w:szCs w:val="28"/>
        </w:rPr>
        <w:t>书是以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 w:val="28"/>
          <w:szCs w:val="28"/>
        </w:rPr>
        <w:t>的技术要求为基准。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供货方</w:t>
      </w:r>
      <w:r>
        <w:rPr>
          <w:rFonts w:hint="eastAsia" w:ascii="宋体" w:hAnsi="宋体" w:eastAsia="宋体" w:cs="宋体"/>
          <w:sz w:val="28"/>
          <w:szCs w:val="28"/>
        </w:rPr>
        <w:t>遵循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需求方</w:t>
      </w:r>
      <w:r>
        <w:rPr>
          <w:rFonts w:hint="eastAsia" w:ascii="宋体" w:hAnsi="宋体" w:eastAsia="宋体" w:cs="宋体"/>
          <w:sz w:val="28"/>
          <w:szCs w:val="28"/>
        </w:rPr>
        <w:t>的技术要求进行的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工装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</w:t>
      </w:r>
      <w:r>
        <w:rPr>
          <w:rFonts w:hint="eastAsia" w:ascii="宋体" w:hAnsi="宋体" w:eastAsia="宋体" w:cs="宋体"/>
          <w:sz w:val="28"/>
          <w:szCs w:val="28"/>
        </w:rPr>
        <w:t>具供应事项的规定及说明，该项目实施后能够满足客户对产品的工艺质量要求。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三、资质要求，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本次招标要求投标人具备以下资质：</w:t>
      </w:r>
    </w:p>
    <w:p>
      <w:pPr>
        <w:pStyle w:val="17"/>
        <w:shd w:val="clear" w:color="auto" w:fill="FFFFFF"/>
        <w:spacing w:before="0" w:beforeAutospacing="0" w:after="0" w:afterAutospacing="0" w:line="420" w:lineRule="atLeast"/>
        <w:ind w:firstLine="560" w:firstLineChars="200"/>
        <w:rPr>
          <w:rFonts w:hint="eastAsia" w:ascii="宋体" w:hAnsi="宋体" w:eastAsia="宋体" w:cs="宋体"/>
          <w:color w:val="454D54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3.1在中国境内注册，有独立法人资格和承担民事责任的能力。</w:t>
      </w:r>
    </w:p>
    <w:p>
      <w:pPr>
        <w:pStyle w:val="17"/>
        <w:shd w:val="clear" w:color="auto" w:fill="FFFFFF"/>
        <w:spacing w:before="0" w:beforeAutospacing="0" w:after="0" w:afterAutospacing="0" w:line="420" w:lineRule="atLeast"/>
        <w:ind w:firstLine="560" w:firstLineChars="200"/>
        <w:rPr>
          <w:rFonts w:hint="eastAsia" w:ascii="宋体" w:hAnsi="宋体" w:eastAsia="宋体" w:cs="宋体"/>
          <w:color w:val="454D54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3.2遵守中华人民共和国有关法律、法规和条例。</w:t>
      </w:r>
    </w:p>
    <w:p>
      <w:pPr>
        <w:pStyle w:val="17"/>
        <w:shd w:val="clear" w:color="auto" w:fill="FFFFFF"/>
        <w:spacing w:before="0" w:beforeAutospacing="0" w:after="0" w:afterAutospacing="0" w:line="420" w:lineRule="atLeast"/>
        <w:ind w:firstLine="560" w:firstLineChars="200"/>
        <w:rPr>
          <w:rFonts w:hint="eastAsia" w:ascii="宋体" w:hAnsi="宋体" w:eastAsia="宋体" w:cs="宋体"/>
          <w:color w:val="454D54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3.3具备生产制造能力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不接受代理）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2019-2021年）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铝合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金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轮毂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企业（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含子公司）2个以上的工装检具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供应</w:t>
      </w:r>
      <w:r>
        <w:rPr>
          <w:rFonts w:hint="eastAsia" w:ascii="宋体" w:hAnsi="宋体" w:eastAsia="宋体" w:cs="宋体"/>
          <w:sz w:val="28"/>
          <w:szCs w:val="28"/>
        </w:rPr>
        <w:t>业绩，业绩应当是目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前存在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并有可能接受招标人的请求为招标人进行实际考察的。</w:t>
      </w:r>
    </w:p>
    <w:p>
      <w:pPr>
        <w:pStyle w:val="17"/>
        <w:shd w:val="clear" w:color="auto" w:fill="FFFFFF"/>
        <w:spacing w:before="0" w:beforeAutospacing="0" w:after="0" w:afterAutospacing="0" w:line="420" w:lineRule="atLeast"/>
        <w:ind w:firstLine="560" w:firstLineChars="200"/>
        <w:rPr>
          <w:rFonts w:hint="eastAsia" w:ascii="宋体" w:hAnsi="宋体" w:eastAsia="宋体" w:cs="宋体"/>
          <w:color w:val="454D54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3.4投标企业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应按照招标方要求提供企业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资质。</w:t>
      </w:r>
    </w:p>
    <w:p>
      <w:pPr>
        <w:pStyle w:val="17"/>
        <w:shd w:val="clear" w:color="auto" w:fill="FFFFFF"/>
        <w:spacing w:before="0" w:beforeAutospacing="0" w:after="0" w:afterAutospacing="0" w:line="420" w:lineRule="atLeast"/>
        <w:ind w:firstLine="560" w:firstLineChars="200"/>
        <w:rPr>
          <w:rFonts w:hint="eastAsia" w:ascii="宋体" w:hAnsi="宋体" w:eastAsia="宋体" w:cs="宋体"/>
          <w:color w:val="454D54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3.5近年来有较好业绩且无不良商业行为。</w:t>
      </w:r>
    </w:p>
    <w:p>
      <w:pPr>
        <w:pStyle w:val="17"/>
        <w:shd w:val="clear" w:color="auto" w:fill="FFFFFF"/>
        <w:spacing w:before="0" w:beforeAutospacing="0" w:after="0" w:afterAutospacing="0" w:line="420" w:lineRule="atLeas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3.6具有良好的商业信誉和健全的财务会计制度。</w:t>
      </w:r>
    </w:p>
    <w:p>
      <w:pPr>
        <w:pStyle w:val="12"/>
        <w:tabs>
          <w:tab w:val="right" w:leader="dot" w:pos="9474"/>
        </w:tabs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使用条件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参数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说明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pStyle w:val="12"/>
        <w:tabs>
          <w:tab w:val="right" w:leader="dot" w:pos="9474"/>
        </w:tabs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设备使用环境：</w:t>
      </w:r>
    </w:p>
    <w:p>
      <w:pPr>
        <w:pStyle w:val="12"/>
        <w:tabs>
          <w:tab w:val="right" w:leader="dot" w:pos="9474"/>
        </w:tabs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</w:t>
      </w:r>
      <w:r>
        <w:rPr>
          <w:rFonts w:hint="eastAsia" w:ascii="宋体" w:hAnsi="宋体" w:eastAsia="宋体" w:cs="宋体"/>
          <w:sz w:val="28"/>
          <w:szCs w:val="28"/>
        </w:rPr>
        <w:t>工作环境温度：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～45℃。</w:t>
      </w:r>
    </w:p>
    <w:p>
      <w:pPr>
        <w:pStyle w:val="12"/>
        <w:tabs>
          <w:tab w:val="right" w:leader="dot" w:pos="9474"/>
        </w:tabs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</w:t>
      </w:r>
      <w:r>
        <w:rPr>
          <w:rFonts w:hint="eastAsia" w:ascii="宋体" w:hAnsi="宋体" w:eastAsia="宋体" w:cs="宋体"/>
          <w:sz w:val="28"/>
          <w:szCs w:val="28"/>
        </w:rPr>
        <w:t>最大相对湿度：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5%。</w:t>
      </w:r>
    </w:p>
    <w:p>
      <w:pPr>
        <w:pStyle w:val="12"/>
        <w:tabs>
          <w:tab w:val="right" w:leader="dot" w:pos="9474"/>
        </w:tabs>
        <w:spacing w:line="24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2.铝合金</w:t>
      </w:r>
      <w:r>
        <w:rPr>
          <w:rFonts w:hint="eastAsia" w:ascii="宋体" w:hAnsi="宋体" w:eastAsia="宋体" w:cs="宋体"/>
          <w:sz w:val="28"/>
          <w:szCs w:val="28"/>
        </w:rPr>
        <w:t>轮毂直径范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围：1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〞～2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〞。</w:t>
      </w:r>
    </w:p>
    <w:p>
      <w:pPr>
        <w:pStyle w:val="12"/>
        <w:tabs>
          <w:tab w:val="right" w:leader="dot" w:pos="9474"/>
        </w:tabs>
        <w:spacing w:line="24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4" w:name="_Toc24501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3.铝合金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轮毂宽度范围：4〞～1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〞。</w:t>
      </w:r>
    </w:p>
    <w:p>
      <w:pPr>
        <w:pStyle w:val="3"/>
        <w:numPr>
          <w:ilvl w:val="0"/>
          <w:numId w:val="0"/>
        </w:numPr>
        <w:bidi w:val="0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工件重量：最大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</w:t>
      </w:r>
      <w:r>
        <w:rPr>
          <w:rFonts w:hint="eastAsia" w:ascii="宋体" w:hAnsi="宋体" w:eastAsia="宋体" w:cs="宋体"/>
          <w:sz w:val="28"/>
          <w:szCs w:val="28"/>
        </w:rPr>
        <w:t xml:space="preserve"> kg。</w:t>
      </w:r>
      <w:bookmarkEnd w:id="4"/>
      <w:bookmarkStart w:id="5" w:name="_Toc5902"/>
    </w:p>
    <w:p>
      <w:pPr>
        <w:pStyle w:val="3"/>
        <w:numPr>
          <w:ilvl w:val="0"/>
          <w:numId w:val="0"/>
        </w:num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五、供货范围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1.供货范围：机加用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工装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检具的供货及运输；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.供货数量：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甲方根据每月生产计划向乙方下达订货通知（包括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种类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数量、交货期、交货地点）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并提供下月预测计划给乙方，以便乙方控制原材料及成品库存。</w:t>
      </w:r>
    </w:p>
    <w:p>
      <w:pPr>
        <w:pStyle w:val="22"/>
        <w:numPr>
          <w:ilvl w:val="0"/>
          <w:numId w:val="0"/>
        </w:numPr>
        <w:tabs>
          <w:tab w:val="left" w:pos="504"/>
        </w:tabs>
        <w:spacing w:line="50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六、技术参数要求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1.位置度规：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支板：支板采用GCR15材质，热处理硬度HRC40-60，加工后平面度不高于0.01。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定位轴：定位轴采用T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8或GCR15材质，热处理硬度HRC40-55。具体尺寸要求见图纸。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检轴：检轴采用T8或GCR15材质，热处理硬度HRC40-55。具体尺寸要求见图纸。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手柄：手柄采用LY11材质，外表面滚花。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刻字：在标示位置按图纸要求刻字，字体为10号，刻字深度0.5mm，字迹清晰。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装配与处理：定位轴、检轴与支板采用过盈配合；支板、定位轴和检轴精磨之前进行发黑处理，确保硬度和耐磨损性能。</w:t>
      </w: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1.6  位置度规总装同心度要求0.025毫米。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检规（中心孔塞规、帽口规、气门孔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15-21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hanging="560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2.1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检规量体部分材质为GCR15，真空热表面处理硬度HRC45-60°，外圆磨之后线切割，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切割后进行发黑处理，最后再精磨，保证光洁度。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2.2手柄部位采用45#钢材质，表面滚花处理。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2.3所有部位不得有毛刺.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 芯轴、定位柱   采用45#钢材质，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热处理硬度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HRC33-38。倒角0.5X45°毛刺处理。表面发黑处理。打刻字体7号,字迹清晰。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 测台工装详见图纸要求。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竞价规则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1.位置度规格及价差</w:t>
      </w:r>
    </w:p>
    <w:tbl>
      <w:tblPr>
        <w:tblStyle w:val="19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686"/>
        <w:gridCol w:w="1344"/>
        <w:gridCol w:w="2012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规格参数</w:t>
            </w:r>
          </w:p>
        </w:tc>
        <w:tc>
          <w:tcPr>
            <w:tcW w:w="16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136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-150</w:t>
            </w: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127-135</w:t>
            </w: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116-126</w:t>
            </w:r>
          </w:p>
        </w:tc>
        <w:tc>
          <w:tcPr>
            <w:tcW w:w="20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4H/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99-115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价差（元）</w:t>
            </w:r>
          </w:p>
        </w:tc>
        <w:tc>
          <w:tcPr>
            <w:tcW w:w="16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上浮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上浮10%</w:t>
            </w: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上浮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2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孔数</w:t>
            </w:r>
          </w:p>
        </w:tc>
        <w:tc>
          <w:tcPr>
            <w:tcW w:w="16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8H</w:t>
            </w: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6H</w:t>
            </w: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5H</w:t>
            </w:r>
          </w:p>
        </w:tc>
        <w:tc>
          <w:tcPr>
            <w:tcW w:w="20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基本价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价差（元）</w:t>
            </w:r>
          </w:p>
        </w:tc>
        <w:tc>
          <w:tcPr>
            <w:tcW w:w="16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上浮25%</w:t>
            </w:r>
          </w:p>
        </w:tc>
        <w:tc>
          <w:tcPr>
            <w:tcW w:w="1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上浮15%</w:t>
            </w:r>
          </w:p>
        </w:tc>
        <w:tc>
          <w:tcPr>
            <w:tcW w:w="2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上浮5%</w:t>
            </w:r>
          </w:p>
        </w:tc>
        <w:tc>
          <w:tcPr>
            <w:tcW w:w="201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说明：4H/99-115为各供应商的竞标价格，其它规格均以基本价进行上浮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如6H/139.7=A*1.15/*1.15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2.检规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(中心孔塞规、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帽槽深度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规）</w:t>
      </w: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695"/>
        <w:gridCol w:w="1575"/>
        <w:gridCol w:w="2055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直径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Ф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Ф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Ф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Ф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价差（元）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上浮20%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上浮10%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上浮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1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基本价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说明：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中心孔塞规及帽槽深度规单独报价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0为各供应商的竞标价格，其它规格均以基本价进行上浮，并以此类推。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3．测台工装及芯轴定位柱按统一单价报价，特殊异形产品另行商议。</w:t>
      </w:r>
    </w:p>
    <w:p>
      <w:pPr>
        <w:pStyle w:val="22"/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56" w:beforeLines="50"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三、供货周期要求：</w:t>
      </w:r>
    </w:p>
    <w:p>
      <w:pPr>
        <w:pStyle w:val="22"/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56" w:beforeLines="50" w:line="360" w:lineRule="auto"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1.检规类交货周期为15天；</w:t>
      </w:r>
    </w:p>
    <w:p>
      <w:pPr>
        <w:pStyle w:val="22"/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56" w:beforeLines="50" w:line="360" w:lineRule="auto"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2.位置度规类交货周期为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0天；</w:t>
      </w:r>
    </w:p>
    <w:p>
      <w:pPr>
        <w:pStyle w:val="22"/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56" w:beforeLines="50" w:line="360" w:lineRule="auto"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3.自动化测台工装交货期50天；</w:t>
      </w:r>
    </w:p>
    <w:p>
      <w:pPr>
        <w:pStyle w:val="22"/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56" w:beforeLines="50" w:line="360" w:lineRule="auto"/>
        <w:ind w:left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以上周期为到货时间含运输时间。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订货</w:t>
      </w:r>
    </w:p>
    <w:p>
      <w:pPr>
        <w:pStyle w:val="2"/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需求方与供货属长期合作关系，具体如下</w:t>
      </w:r>
    </w:p>
    <w:p>
      <w:pPr>
        <w:keepNext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left="420" w:leftChars="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需求方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根据每月生产计划向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供货方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下达订货通知（包括品种、</w:t>
      </w:r>
      <w:r>
        <w:rPr>
          <w:rFonts w:hint="eastAsia" w:ascii="宋体" w:hAnsi="宋体" w:eastAsia="宋体" w:cs="宋体"/>
          <w:sz w:val="28"/>
          <w:szCs w:val="28"/>
        </w:rPr>
        <w:t>数量、交货期、交货地点）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并提供下月预测计划给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供货方</w:t>
      </w:r>
      <w:r>
        <w:rPr>
          <w:rFonts w:hint="eastAsia" w:ascii="宋体" w:hAnsi="宋体" w:eastAsia="宋体" w:cs="宋体"/>
          <w:sz w:val="28"/>
          <w:szCs w:val="28"/>
        </w:rPr>
        <w:t>，以便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供货方</w:t>
      </w:r>
      <w:r>
        <w:rPr>
          <w:rFonts w:hint="eastAsia" w:ascii="宋体" w:hAnsi="宋体" w:eastAsia="宋体" w:cs="宋体"/>
          <w:sz w:val="28"/>
          <w:szCs w:val="28"/>
        </w:rPr>
        <w:t>控制原材料及成品库存。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因情况紧急或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需求方</w:t>
      </w:r>
      <w:r>
        <w:rPr>
          <w:rFonts w:hint="eastAsia" w:ascii="宋体" w:hAnsi="宋体" w:eastAsia="宋体" w:cs="宋体"/>
          <w:sz w:val="28"/>
          <w:szCs w:val="28"/>
        </w:rPr>
        <w:t>认定需要变动规格等时，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需求方</w:t>
      </w:r>
      <w:r>
        <w:rPr>
          <w:rFonts w:hint="eastAsia" w:ascii="宋体" w:hAnsi="宋体" w:eastAsia="宋体" w:cs="宋体"/>
          <w:sz w:val="28"/>
          <w:szCs w:val="28"/>
        </w:rPr>
        <w:t>可以要求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供货方</w:t>
      </w:r>
      <w:r>
        <w:rPr>
          <w:rFonts w:hint="eastAsia" w:ascii="宋体" w:hAnsi="宋体" w:eastAsia="宋体" w:cs="宋体"/>
          <w:sz w:val="28"/>
          <w:szCs w:val="28"/>
        </w:rPr>
        <w:t>改变以上订货。但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需求方</w:t>
      </w:r>
      <w:r>
        <w:rPr>
          <w:rFonts w:hint="eastAsia" w:ascii="宋体" w:hAnsi="宋体" w:eastAsia="宋体" w:cs="宋体"/>
          <w:sz w:val="28"/>
          <w:szCs w:val="28"/>
        </w:rPr>
        <w:t>改变订货时，应避免给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供货方</w:t>
      </w:r>
      <w:r>
        <w:rPr>
          <w:rFonts w:hint="eastAsia" w:ascii="宋体" w:hAnsi="宋体" w:eastAsia="宋体" w:cs="宋体"/>
          <w:sz w:val="28"/>
          <w:szCs w:val="28"/>
        </w:rPr>
        <w:t>造成损失，确已造成损失的（如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供货方</w:t>
      </w:r>
      <w:r>
        <w:rPr>
          <w:rFonts w:hint="eastAsia" w:ascii="宋体" w:hAnsi="宋体" w:eastAsia="宋体" w:cs="宋体"/>
          <w:sz w:val="28"/>
          <w:szCs w:val="28"/>
        </w:rPr>
        <w:t>已为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需求方</w:t>
      </w:r>
      <w:r>
        <w:rPr>
          <w:rFonts w:hint="eastAsia" w:ascii="宋体" w:hAnsi="宋体" w:eastAsia="宋体" w:cs="宋体"/>
          <w:sz w:val="28"/>
          <w:szCs w:val="28"/>
        </w:rPr>
        <w:t>变更前的订单采购了专用原材料等），双方友好协商解决。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供货方</w:t>
      </w:r>
      <w:r>
        <w:rPr>
          <w:rFonts w:hint="eastAsia" w:ascii="宋体" w:hAnsi="宋体" w:eastAsia="宋体" w:cs="宋体"/>
          <w:sz w:val="28"/>
          <w:szCs w:val="28"/>
        </w:rPr>
        <w:t>必须在接到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需求方</w:t>
      </w:r>
      <w:r>
        <w:rPr>
          <w:rFonts w:hint="eastAsia" w:ascii="宋体" w:hAnsi="宋体" w:eastAsia="宋体" w:cs="宋体"/>
          <w:sz w:val="28"/>
          <w:szCs w:val="28"/>
        </w:rPr>
        <w:t>订货通知后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1 </w:t>
      </w:r>
      <w:r>
        <w:rPr>
          <w:rFonts w:hint="eastAsia" w:ascii="宋体" w:hAnsi="宋体" w:eastAsia="宋体" w:cs="宋体"/>
          <w:sz w:val="28"/>
          <w:szCs w:val="28"/>
        </w:rPr>
        <w:t>日内对订货通知进行确认。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对订货内容有异议时，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供货方</w:t>
      </w:r>
      <w:r>
        <w:rPr>
          <w:rFonts w:hint="eastAsia" w:ascii="宋体" w:hAnsi="宋体" w:eastAsia="宋体" w:cs="宋体"/>
          <w:sz w:val="28"/>
          <w:szCs w:val="28"/>
        </w:rPr>
        <w:t>必须在接到订货通知后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1  </w:t>
      </w:r>
      <w:r>
        <w:rPr>
          <w:rFonts w:hint="eastAsia" w:ascii="宋体" w:hAnsi="宋体" w:eastAsia="宋体" w:cs="宋体"/>
          <w:sz w:val="28"/>
          <w:szCs w:val="28"/>
        </w:rPr>
        <w:t>日内向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需求方</w:t>
      </w:r>
      <w:r>
        <w:rPr>
          <w:rFonts w:hint="eastAsia" w:ascii="宋体" w:hAnsi="宋体" w:eastAsia="宋体" w:cs="宋体"/>
          <w:sz w:val="28"/>
          <w:szCs w:val="28"/>
        </w:rPr>
        <w:t>反馈，否则视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供货方</w:t>
      </w:r>
      <w:r>
        <w:rPr>
          <w:rFonts w:hint="eastAsia" w:ascii="宋体" w:hAnsi="宋体" w:eastAsia="宋体" w:cs="宋体"/>
          <w:sz w:val="28"/>
          <w:szCs w:val="28"/>
        </w:rPr>
        <w:t>接受订货。</w:t>
      </w:r>
    </w:p>
    <w:p>
      <w:pPr>
        <w:keepNext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交货</w:t>
      </w:r>
    </w:p>
    <w:p>
      <w:pPr>
        <w:keepNext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left="426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供货方</w:t>
      </w:r>
      <w:r>
        <w:rPr>
          <w:rFonts w:hint="eastAsia" w:ascii="宋体" w:hAnsi="宋体" w:eastAsia="宋体" w:cs="宋体"/>
          <w:sz w:val="28"/>
          <w:szCs w:val="28"/>
        </w:rPr>
        <w:t>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需求方</w:t>
      </w:r>
      <w:r>
        <w:rPr>
          <w:rFonts w:hint="eastAsia" w:ascii="宋体" w:hAnsi="宋体" w:eastAsia="宋体" w:cs="宋体"/>
          <w:sz w:val="28"/>
          <w:szCs w:val="28"/>
        </w:rPr>
        <w:t>指定的人员、交货地点、数量和交货手续（包括送货单）按时交货。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供货方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在保证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需求方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正常生产的情况下，应尽量增加送货频次、减少每次送货数量，以减少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需求方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现场库存。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426"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需求方</w:t>
      </w:r>
      <w:r>
        <w:rPr>
          <w:rFonts w:hint="eastAsia" w:ascii="宋体" w:hAnsi="宋体" w:eastAsia="宋体" w:cs="宋体"/>
          <w:sz w:val="28"/>
          <w:szCs w:val="28"/>
        </w:rPr>
        <w:t>责任以外，按上款使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需求方</w:t>
      </w:r>
      <w:r>
        <w:rPr>
          <w:rFonts w:hint="eastAsia" w:ascii="宋体" w:hAnsi="宋体" w:eastAsia="宋体" w:cs="宋体"/>
          <w:sz w:val="28"/>
          <w:szCs w:val="28"/>
        </w:rPr>
        <w:t>遭受损失时，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供货方</w:t>
      </w:r>
      <w:r>
        <w:rPr>
          <w:rFonts w:hint="eastAsia" w:ascii="宋体" w:hAnsi="宋体" w:eastAsia="宋体" w:cs="宋体"/>
          <w:sz w:val="28"/>
          <w:szCs w:val="28"/>
        </w:rPr>
        <w:t>应负责任。责任范围包括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需求方</w:t>
      </w:r>
      <w:r>
        <w:rPr>
          <w:rFonts w:hint="eastAsia" w:ascii="宋体" w:hAnsi="宋体" w:eastAsia="宋体" w:cs="宋体"/>
          <w:sz w:val="28"/>
          <w:szCs w:val="28"/>
        </w:rPr>
        <w:t>因不能按时交货而受到第三方索赔的实际损失、延期交货造成退货或终止合同的货物及利益损失等。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</w:p>
    <w:p>
      <w:pPr>
        <w:pStyle w:val="2"/>
        <w:keepNext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</w:p>
    <w:p>
      <w:pPr>
        <w:pStyle w:val="2"/>
        <w:keepNext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2"/>
        <w:numPr>
          <w:ilvl w:val="0"/>
          <w:numId w:val="0"/>
        </w:numPr>
        <w:tabs>
          <w:tab w:val="left" w:pos="504"/>
        </w:tabs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2"/>
        <w:numPr>
          <w:ilvl w:val="0"/>
          <w:numId w:val="0"/>
        </w:numPr>
        <w:tabs>
          <w:tab w:val="left" w:pos="504"/>
        </w:tabs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2"/>
        <w:numPr>
          <w:ilvl w:val="0"/>
          <w:numId w:val="0"/>
        </w:numPr>
        <w:tabs>
          <w:tab w:val="left" w:pos="504"/>
        </w:tabs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2"/>
        <w:numPr>
          <w:ilvl w:val="0"/>
          <w:numId w:val="0"/>
        </w:numPr>
        <w:tabs>
          <w:tab w:val="left" w:pos="504"/>
        </w:tabs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2"/>
        <w:numPr>
          <w:ilvl w:val="0"/>
          <w:numId w:val="0"/>
        </w:numPr>
        <w:tabs>
          <w:tab w:val="left" w:pos="504"/>
        </w:tabs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m Sun+ 2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560"/>
      <w:jc w:val="center"/>
      <w:rPr>
        <w:color w:val="FFFFFF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79</w:t>
    </w:r>
    <w:r>
      <w:fldChar w:fldCharType="end"/>
    </w:r>
    <w:r>
      <w:rPr>
        <w:color w:val="FFFFFF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24BBB"/>
    <w:multiLevelType w:val="multilevel"/>
    <w:tmpl w:val="36924BB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>
    <w:nsid w:val="63476CBF"/>
    <w:multiLevelType w:val="multilevel"/>
    <w:tmpl w:val="63476CBF"/>
    <w:lvl w:ilvl="0" w:tentative="0">
      <w:start w:val="1"/>
      <w:numFmt w:val="decimal"/>
      <w:isLgl/>
      <w:lvlText w:val="%1"/>
      <w:lvlJc w:val="left"/>
      <w:pPr>
        <w:tabs>
          <w:tab w:val="left" w:pos="0"/>
        </w:tabs>
        <w:ind w:left="432" w:hanging="432"/>
      </w:pPr>
      <w:rPr>
        <w:rFonts w:hint="default" w:ascii="Times New Roman" w:hAnsi="Times New Roman" w:eastAsia="仿宋_GB2312"/>
        <w:b/>
        <w:i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1144"/>
        </w:tabs>
        <w:ind w:left="1144" w:hanging="576"/>
      </w:pPr>
      <w:rPr>
        <w:rFonts w:hint="default" w:ascii="Times New Roman" w:hAnsi="Times New Roman" w:eastAsia="仿宋_GB2312"/>
        <w:b/>
        <w:i/>
        <w:sz w:val="21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914"/>
        </w:tabs>
        <w:ind w:left="914" w:hanging="720"/>
      </w:pPr>
      <w:rPr>
        <w:rFonts w:hint="default" w:ascii="Times New Roman" w:hAnsi="Times New Roman" w:eastAsia="仿宋_GB2312"/>
        <w:b/>
        <w:i/>
        <w:sz w:val="21"/>
        <w:lang w:eastAsia="zh-CN"/>
      </w:rPr>
    </w:lvl>
    <w:lvl w:ilvl="3" w:tentative="0">
      <w:start w:val="1"/>
      <w:numFmt w:val="decimal"/>
      <w:lvlText w:val="%1.%2.%3.%4"/>
      <w:lvlJc w:val="left"/>
      <w:pPr>
        <w:tabs>
          <w:tab w:val="left" w:pos="9370"/>
        </w:tabs>
        <w:ind w:left="9370" w:hanging="864"/>
      </w:pPr>
      <w:rPr>
        <w:rFonts w:hint="default" w:ascii="Times New Roman" w:hAnsi="Times New Roman" w:eastAsia="仿宋_GB2312"/>
        <w:b/>
        <w:i/>
        <w:sz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ascii="Times New Roman" w:hAnsi="Times New Roman" w:eastAsia="仿宋_GB2312"/>
        <w:b/>
        <w:i/>
        <w:sz w:val="21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ascii="Times New Roman" w:hAnsi="Times New Roman" w:eastAsia="仿宋_GB2312"/>
        <w:b/>
        <w:i/>
        <w:sz w:val="24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ascii="Times New Roman" w:hAnsi="Times New Roman" w:eastAsia="仿宋_GB2312"/>
        <w:b/>
        <w:i/>
        <w:sz w:val="24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ascii="Times New Roman" w:hAnsi="Times New Roman" w:eastAsia="仿宋_GB2312"/>
        <w:b/>
        <w:i/>
        <w:sz w:val="24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ascii="Times New Roman" w:hAnsi="Times New Roman" w:eastAsia="仿宋_GB2312"/>
        <w:b/>
        <w:i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MzYzYjI2NzE4ZjM2ZWI1ODhhODQzOGEzZWY5MTAifQ=="/>
  </w:docVars>
  <w:rsids>
    <w:rsidRoot w:val="33483730"/>
    <w:rsid w:val="00190622"/>
    <w:rsid w:val="06181221"/>
    <w:rsid w:val="081B1D86"/>
    <w:rsid w:val="08393C02"/>
    <w:rsid w:val="0B8C2B70"/>
    <w:rsid w:val="0BEB01B3"/>
    <w:rsid w:val="0C44582D"/>
    <w:rsid w:val="0DC53FC7"/>
    <w:rsid w:val="0ED975FB"/>
    <w:rsid w:val="10BD1A68"/>
    <w:rsid w:val="130927DD"/>
    <w:rsid w:val="14782F0C"/>
    <w:rsid w:val="17A4480B"/>
    <w:rsid w:val="190E058C"/>
    <w:rsid w:val="19542D81"/>
    <w:rsid w:val="1ABF3ED7"/>
    <w:rsid w:val="1CB204A2"/>
    <w:rsid w:val="1D22146B"/>
    <w:rsid w:val="1D2D6232"/>
    <w:rsid w:val="1EB938DE"/>
    <w:rsid w:val="1F610F34"/>
    <w:rsid w:val="2385055D"/>
    <w:rsid w:val="24E63565"/>
    <w:rsid w:val="281A407B"/>
    <w:rsid w:val="2A4758B9"/>
    <w:rsid w:val="2DCD6A25"/>
    <w:rsid w:val="30333691"/>
    <w:rsid w:val="314E02C8"/>
    <w:rsid w:val="33483730"/>
    <w:rsid w:val="343D4E27"/>
    <w:rsid w:val="36F03900"/>
    <w:rsid w:val="3C605A88"/>
    <w:rsid w:val="445D6D91"/>
    <w:rsid w:val="45E33E10"/>
    <w:rsid w:val="50437F3A"/>
    <w:rsid w:val="51B035A3"/>
    <w:rsid w:val="541E42CD"/>
    <w:rsid w:val="5BCF552A"/>
    <w:rsid w:val="5BE30729"/>
    <w:rsid w:val="5F502961"/>
    <w:rsid w:val="63ED0AA5"/>
    <w:rsid w:val="646C70AB"/>
    <w:rsid w:val="65D8688C"/>
    <w:rsid w:val="65EA7385"/>
    <w:rsid w:val="65FD6A99"/>
    <w:rsid w:val="666C24C7"/>
    <w:rsid w:val="684C63EB"/>
    <w:rsid w:val="6CF478D1"/>
    <w:rsid w:val="72590C69"/>
    <w:rsid w:val="73094A36"/>
    <w:rsid w:val="74FF2BBC"/>
    <w:rsid w:val="75511787"/>
    <w:rsid w:val="7645592C"/>
    <w:rsid w:val="768A56E1"/>
    <w:rsid w:val="76DA65F5"/>
    <w:rsid w:val="77D16D06"/>
    <w:rsid w:val="7BEC10CB"/>
    <w:rsid w:val="7F66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Sim Sun+ 2" w:hAnsi="Times New Roman" w:eastAsia="Sim Sun+ 2" w:cs="Sim Sun+ 2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adjustRightInd w:val="0"/>
      <w:spacing w:line="360" w:lineRule="atLeast"/>
      <w:ind w:firstLine="709"/>
      <w:jc w:val="left"/>
      <w:textAlignment w:val="baseline"/>
    </w:pPr>
    <w:rPr>
      <w:kern w:val="0"/>
      <w:sz w:val="24"/>
    </w:rPr>
  </w:style>
  <w:style w:type="paragraph" w:styleId="6">
    <w:name w:val="Body Text"/>
    <w:basedOn w:val="1"/>
    <w:qFormat/>
    <w:uiPriority w:val="99"/>
    <w:pPr>
      <w:spacing w:line="360" w:lineRule="auto"/>
    </w:pPr>
    <w:rPr>
      <w:sz w:val="24"/>
    </w:rPr>
  </w:style>
  <w:style w:type="paragraph" w:styleId="7">
    <w:name w:val="Body Text Indent"/>
    <w:basedOn w:val="1"/>
    <w:qFormat/>
    <w:uiPriority w:val="99"/>
    <w:pPr>
      <w:spacing w:line="360" w:lineRule="auto"/>
    </w:pPr>
    <w:rPr>
      <w:rFonts w:ascii="宋体"/>
    </w:rPr>
  </w:style>
  <w:style w:type="paragraph" w:styleId="8">
    <w:name w:val="Plain Text"/>
    <w:basedOn w:val="1"/>
    <w:qFormat/>
    <w:uiPriority w:val="99"/>
    <w:rPr>
      <w:rFonts w:ascii="宋体" w:hAnsi="Courier New" w:cs="Century"/>
      <w:szCs w:val="21"/>
    </w:rPr>
  </w:style>
  <w:style w:type="paragraph" w:styleId="9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eastAsia="楷体_GB2312"/>
      <w:sz w:val="30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rPr>
      <w:sz w:val="24"/>
    </w:rPr>
  </w:style>
  <w:style w:type="paragraph" w:styleId="13">
    <w:name w:val="index heading"/>
    <w:basedOn w:val="1"/>
    <w:next w:val="14"/>
    <w:qFormat/>
    <w:uiPriority w:val="99"/>
    <w:rPr>
      <w:szCs w:val="24"/>
    </w:rPr>
  </w:style>
  <w:style w:type="paragraph" w:styleId="14">
    <w:name w:val="index 1"/>
    <w:basedOn w:val="1"/>
    <w:next w:val="1"/>
    <w:qFormat/>
    <w:uiPriority w:val="99"/>
    <w:pPr>
      <w:spacing w:line="360" w:lineRule="auto"/>
      <w:ind w:left="1149" w:leftChars="547"/>
    </w:pPr>
  </w:style>
  <w:style w:type="paragraph" w:styleId="15">
    <w:name w:val="footnote text"/>
    <w:basedOn w:val="1"/>
    <w:qFormat/>
    <w:uiPriority w:val="99"/>
    <w:pPr>
      <w:adjustRightInd w:val="0"/>
      <w:spacing w:line="312" w:lineRule="atLeast"/>
      <w:jc w:val="left"/>
      <w:textAlignment w:val="baseline"/>
    </w:pPr>
    <w:rPr>
      <w:kern w:val="0"/>
      <w:sz w:val="18"/>
    </w:rPr>
  </w:style>
  <w:style w:type="paragraph" w:styleId="16">
    <w:name w:val="Body Text Indent 3"/>
    <w:basedOn w:val="1"/>
    <w:qFormat/>
    <w:uiPriority w:val="0"/>
    <w:pPr>
      <w:spacing w:line="360" w:lineRule="exact"/>
      <w:ind w:firstLine="562" w:firstLineChars="200"/>
    </w:pPr>
    <w:rPr>
      <w:rFonts w:ascii="宋体"/>
      <w:sz w:val="28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_Style 4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22">
    <w:name w:val="List Paragraph"/>
    <w:basedOn w:val="1"/>
    <w:qFormat/>
    <w:uiPriority w:val="0"/>
    <w:pPr>
      <w:ind w:firstLine="420" w:firstLineChars="200"/>
    </w:pPr>
  </w:style>
  <w:style w:type="character" w:customStyle="1" w:styleId="23">
    <w:name w:val="font7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9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31"/>
    <w:basedOn w:val="2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6">
    <w:name w:val="font5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8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2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9">
    <w:name w:val="font0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1707</Words>
  <Characters>1964</Characters>
  <Lines>0</Lines>
  <Paragraphs>0</Paragraphs>
  <TotalTime>15</TotalTime>
  <ScaleCrop>false</ScaleCrop>
  <LinksUpToDate>false</LinksUpToDate>
  <CharactersWithSpaces>2046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2020-07-24T00:23:00Z</dcterms:created>
  <dc:creator>Administrator</dc:creator>
  <cp:lastModifiedBy>百矿优秀员工</cp:lastModifiedBy>
  <cp:lastPrinted>2021-12-13T02:22:00Z</cp:lastPrinted>
  <dcterms:modified xsi:type="dcterms:W3CDTF">2023-03-02T08:20:43Z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BE62F3DE3F9D4D629DE3B1D76ECBFA10</vt:lpwstr>
  </property>
</Properties>
</file>