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Theme="minorEastAsia" w:hAnsiTheme="minorEastAsia"/>
          <w:szCs w:val="21"/>
        </w:rPr>
      </w:pPr>
      <w:r>
        <w:rPr>
          <w:rFonts w:hint="eastAsia" w:ascii="微软雅黑" w:hAnsi="微软雅黑" w:eastAsia="微软雅黑"/>
          <w:b/>
          <w:sz w:val="36"/>
          <w:szCs w:val="36"/>
          <w:u w:val="none"/>
          <w:lang w:eastAsia="zh-CN"/>
        </w:rPr>
        <w:t>吉利百矿电解铝业务部2023年公务车维保项目</w:t>
      </w:r>
      <w:r>
        <w:rPr>
          <w:rFonts w:hint="eastAsia" w:ascii="微软雅黑" w:hAnsi="微软雅黑" w:eastAsia="微软雅黑"/>
          <w:b/>
          <w:sz w:val="36"/>
          <w:szCs w:val="36"/>
          <w:u w:val="none"/>
          <w:lang w:val="en-US" w:eastAsia="zh-CN"/>
        </w:rPr>
        <w:t xml:space="preserve">      </w:t>
      </w:r>
      <w:r>
        <w:rPr>
          <w:rFonts w:hint="eastAsia" w:ascii="微软雅黑" w:hAnsi="微软雅黑" w:eastAsia="微软雅黑"/>
          <w:b/>
          <w:sz w:val="36"/>
          <w:szCs w:val="36"/>
          <w:u w:val="none"/>
        </w:rPr>
        <w:t>招标公告</w:t>
      </w:r>
      <w:r>
        <w:rPr>
          <w:rFonts w:hint="eastAsia" w:asciiTheme="minorEastAsia" w:hAnsiTheme="minorEastAsia"/>
          <w:szCs w:val="21"/>
        </w:rPr>
        <w:t xml:space="preserve">                                                  </w:t>
      </w:r>
    </w:p>
    <w:p>
      <w:pPr>
        <w:spacing w:line="440" w:lineRule="exac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采购</w:t>
      </w:r>
      <w:r>
        <w:rPr>
          <w:rFonts w:ascii="黑体" w:hAnsi="黑体" w:eastAsia="黑体"/>
          <w:b/>
          <w:sz w:val="24"/>
          <w:szCs w:val="24"/>
        </w:rPr>
        <w:t>类别：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服务</w:t>
      </w:r>
      <w:r>
        <w:rPr>
          <w:rFonts w:hint="eastAsia" w:ascii="黑体" w:hAnsi="黑体" w:eastAsia="黑体"/>
          <w:b/>
          <w:sz w:val="24"/>
          <w:szCs w:val="24"/>
        </w:rPr>
        <w:t>类</w:t>
      </w:r>
    </w:p>
    <w:p>
      <w:pPr>
        <w:numPr>
          <w:ilvl w:val="0"/>
          <w:numId w:val="1"/>
        </w:numPr>
        <w:spacing w:line="440" w:lineRule="exact"/>
        <w:rPr>
          <w:rFonts w:hint="eastAsia"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项目名称：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吉利百矿电解铝业务部2023年公务车维保项目</w:t>
      </w:r>
    </w:p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2.项目概况与招标范围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2.1项目概况：</w:t>
      </w:r>
    </w:p>
    <w:p>
      <w:pPr>
        <w:spacing w:line="440" w:lineRule="exact"/>
        <w:ind w:firstLine="480" w:firstLineChars="200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吉利百矿电解铝业务部下辖广西百矿铝业有限公司（以下简称“田阳铝厂”）、 广西田林百矿铝业有限公司（以下简称“田林铝厂”）、广西德保百矿铝业有限公司（以下简称“德保铝厂”）、广西隆林百矿铝业有限公司（以下简称“隆林铝厂”），为确保各厂公务车的正常安全行驶。现就吉利百矿电解铝业务部2023年公务车维保项目进行招标，欢迎有实力的公司参与此次招标活动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2.2招标范围：</w:t>
      </w:r>
    </w:p>
    <w:tbl>
      <w:tblPr>
        <w:tblStyle w:val="14"/>
        <w:tblW w:w="89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685"/>
        <w:gridCol w:w="1684"/>
        <w:gridCol w:w="1761"/>
        <w:gridCol w:w="165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型号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数量（台）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厂区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1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：田阳铝厂公务车维保项目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东风小卡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田阳铝厂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商务车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别克商务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小桥车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别克君威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越野车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丰田霸道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纳智捷越野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锐骐皮卡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东风皮卡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14座面包车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4"/>
                <w:szCs w:val="24"/>
                <w:u w:val="none"/>
              </w:rPr>
              <w:t>福田商务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  <w:t>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小桥车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吉利星越L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洒水车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洒水车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观光车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观光车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摩托车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电动车（两轮）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电动车（三轮）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：德保铝厂公务车维保项目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商务车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别克GL8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center"/>
              <w:outlineLvl w:val="9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德保铝厂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19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丰田霸道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风骏5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22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标段三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：田林铝厂、隆林铝厂公务车维保项目</w:t>
            </w: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吉利博瑞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田林铝厂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本田雅阁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中巴车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金杯牌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宝骏730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27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东风牌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28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本田CRV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隆林铝厂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29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SUV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星越L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轿车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博越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31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面包车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五菱宏光S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32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送餐车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五菱厢式微卡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33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皮卡车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郑州皮卡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34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摩托车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35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电动车（两轮）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9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val="en-US" w:eastAsia="zh-CN"/>
              </w:rPr>
              <w:t>36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</w:t>
            </w:r>
          </w:p>
        </w:tc>
        <w:tc>
          <w:tcPr>
            <w:tcW w:w="17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电动车（三轮）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0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66</w:t>
            </w:r>
          </w:p>
        </w:tc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center"/>
              <w:outlineLvl w:val="9"/>
              <w:rPr>
                <w:rFonts w:hint="eastAsia" w:ascii="微软雅黑" w:hAnsi="微软雅黑" w:eastAsia="微软雅黑" w:cs="微软雅黑"/>
                <w:bCs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3.投标人资格要求</w:t>
      </w:r>
    </w:p>
    <w:p>
      <w:pPr>
        <w:spacing w:line="440" w:lineRule="exact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本次招标要求投标人具备以下资质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：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3.1在中国境内注册，有独立法人资格和承担民事责任的能力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3.2遵守中华人民共和国有关法律、法规和条例。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营业范围含车辆维修；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具有不小于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00㎡的维修及办公场地（提供租赁合同）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具有竞标规格及以上相应或相似条件下，近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年在国内不少于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2个及以上</w:t>
      </w:r>
      <w:r>
        <w:rPr>
          <w:rFonts w:hint="eastAsia" w:ascii="微软雅黑" w:hAnsi="微软雅黑" w:eastAsia="微软雅黑" w:cs="微软雅黑"/>
          <w:sz w:val="24"/>
          <w:highlight w:val="none"/>
          <w:lang w:eastAsia="zh-CN"/>
        </w:rPr>
        <w:t>车辆维保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业绩须附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列表及对应列表的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。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原件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扫描件含首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尾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页、能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反应合同主体内容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、签字盖章页，否则按无效业绩处理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近年来有较好业绩且无不良商业行为。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具有良好的商业信誉和健全的财务会计制度。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3.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本次招标不接受联合体投标。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3.7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本次招标不接受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分包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4.投标报名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4.1报名方式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4.1.1 *凡有意参加报名的投标人，请至吉利控股集团招标采购平台（glzb.geely.com）注册报名，可在平台网站首页点击“下载供应商服务手册”查看《吉利电子采购招标平台操作手册（供应商端》,投标人根据手册要求进行注册，认证完成后为注册成功后。供应商根据公告项目名称，按照报名要求上传资料。未按照此方式报名的，视作无效报名。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eastAsia" w:ascii="宋体" w:hAnsi="宋体" w:eastAsia="宋体" w:cs="华文仿宋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4.1.2 *报名截止时间：202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日（未在招标采购平台上注册过的供应商，因注册后需要审核，请至少提前一天进行注册）</w:t>
      </w:r>
      <w:r>
        <w:rPr>
          <w:rFonts w:hint="eastAsia" w:ascii="宋体" w:hAnsi="宋体" w:eastAsia="宋体" w:cs="华文仿宋"/>
          <w:bCs/>
          <w:sz w:val="24"/>
          <w:szCs w:val="24"/>
        </w:rPr>
        <w:t>。</w:t>
      </w:r>
    </w:p>
    <w:p>
      <w:pPr>
        <w:spacing w:line="440" w:lineRule="exact"/>
        <w:rPr>
          <w:rFonts w:cs="华文仿宋" w:asciiTheme="minorEastAsia" w:hAnsiTheme="minorEastAsia"/>
          <w:b/>
          <w:bCs/>
          <w:sz w:val="24"/>
          <w:szCs w:val="24"/>
        </w:rPr>
      </w:pPr>
      <w:r>
        <w:rPr>
          <w:rFonts w:hint="eastAsia" w:cs="华文仿宋" w:asciiTheme="minorEastAsia" w:hAnsiTheme="minorEastAsia"/>
          <w:b/>
          <w:bCs/>
          <w:sz w:val="24"/>
          <w:szCs w:val="24"/>
        </w:rPr>
        <w:t>4.2报名资料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报名资料于报名截止时间前上传至吉利控股集团招标采购平台，报名资料包含但不限于以下内容：</w:t>
      </w:r>
      <w:bookmarkStart w:id="0" w:name="_GoBack"/>
      <w:bookmarkEnd w:id="0"/>
    </w:p>
    <w:p>
      <w:pPr>
        <w:numPr>
          <w:ilvl w:val="0"/>
          <w:numId w:val="2"/>
        </w:num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三证合一的营业执照副本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；</w:t>
      </w:r>
    </w:p>
    <w:p>
      <w:pPr>
        <w:numPr>
          <w:ilvl w:val="0"/>
          <w:numId w:val="0"/>
        </w:numPr>
        <w:spacing w:line="440" w:lineRule="exact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b.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类似项目业绩证明及证明材料（提供合同扫描件，涉及机密部分可隐去）；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c.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企业概况及履约能力说明；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d.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近三年的财务报表资料；</w:t>
      </w:r>
    </w:p>
    <w:p>
      <w:pPr>
        <w:numPr>
          <w:ilvl w:val="0"/>
          <w:numId w:val="0"/>
        </w:numPr>
        <w:spacing w:line="440" w:lineRule="exact"/>
        <w:ind w:leftChars="0"/>
        <w:rPr>
          <w:rFonts w:hint="default" w:eastAsia="宋体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e.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不小于300㎡的维修及办公场地租赁合同</w:t>
      </w:r>
    </w:p>
    <w:p>
      <w:pPr>
        <w:spacing w:line="440" w:lineRule="exact"/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4.3提交材料要求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a、合同请扫描成一份PDF文件，严禁将合同分成一张张图片上传；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b、请提供合同原件扫描件、合同扫描件需体现合作对象、合作时间、服务内容等信息（价格部分可隐藏）；</w:t>
      </w:r>
    </w:p>
    <w:p>
      <w:pPr>
        <w:spacing w:line="440" w:lineRule="exact"/>
        <w:ind w:firstLine="0" w:firstLineChars="0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c、合同扫描件请命名：XXXX公司+与XXXX公司合作合同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XXX，机组装机容量：XXX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，如：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百色百矿发电有限公司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+与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广西百色银海发电有限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公司合作合同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（合同内容：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XXX；机组装机容量：XXX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）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；</w:t>
      </w:r>
    </w:p>
    <w:p>
      <w:pPr>
        <w:spacing w:line="440" w:lineRule="exact"/>
        <w:rPr>
          <w:rFonts w:hint="eastAsia" w:ascii="微软雅黑" w:hAnsi="微软雅黑" w:eastAsia="微软雅黑" w:cs="微软雅黑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备注：请供应商务必按照要求提交业绩材料，如因供应商提交的材料不符合要求而造成供应商被淘汰，招标方不承担任何责任。以上资料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highlight w:val="none"/>
        </w:rPr>
        <w:t>扫描命名打包，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报名资料需在报名截止时间前上传，逾期报名无效。</w:t>
      </w:r>
    </w:p>
    <w:p>
      <w:pPr>
        <w:pStyle w:val="2"/>
        <w:rPr>
          <w:rFonts w:hint="eastAsia"/>
        </w:rPr>
      </w:pP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5.招标文件的获取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5.1报名截止后，对所有报名单位进行资格初审，初审合格后购买招标文件；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5.2招标文件每套售价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u w:val="single"/>
          <w:lang w:val="en-US" w:eastAsia="zh-CN"/>
        </w:rPr>
        <w:t>100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 xml:space="preserve"> 元，售后不退；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6.发布公告的媒介</w:t>
      </w:r>
    </w:p>
    <w:p>
      <w:pPr>
        <w:spacing w:line="440" w:lineRule="exac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本次招标公告只在吉利控股集团招标采购平台glzb.geely.com上发布，其他媒体转载无效。</w:t>
      </w:r>
    </w:p>
    <w:p>
      <w:pPr>
        <w:spacing w:line="440" w:lineRule="exac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7.联系方式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招标单位：广西百矿铝业有限公司、广西田林百矿铝业有限公司、广西德保百矿铝业有限公司、广西隆林百矿铝业有限公司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left="0" w:leftChars="0" w:right="0" w:firstLine="480" w:firstLineChars="200"/>
        <w:textAlignment w:val="auto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组织单位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</w:rPr>
        <w:t>：</w:t>
      </w:r>
      <w:r>
        <w:rPr>
          <w:rFonts w:hint="eastAsia" w:ascii="微软雅黑" w:hAnsi="微软雅黑" w:eastAsia="微软雅黑" w:cs="微软雅黑"/>
          <w:bCs/>
          <w:sz w:val="24"/>
          <w:szCs w:val="24"/>
          <w:u w:val="none"/>
          <w:lang w:eastAsia="zh-CN"/>
        </w:rPr>
        <w:t>广西百矿铝业有限公司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招标组织人地址：广西百色市右江区东增路188号吉利百矿集团有限公司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开标地址：广西百色市右江区东增路188号吉利百矿集团有限公司开标室二</w:t>
      </w:r>
    </w:p>
    <w:p>
      <w:pPr>
        <w:spacing w:line="440" w:lineRule="exact"/>
        <w:ind w:firstLine="480" w:firstLineChars="200"/>
        <w:jc w:val="left"/>
        <w:rPr>
          <w:rFonts w:hint="default" w:ascii="微软雅黑" w:hAnsi="微软雅黑" w:eastAsia="微软雅黑" w:cs="微软雅黑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邮编：5330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99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highlight w:val="none"/>
          <w:lang w:eastAsia="zh-CN"/>
        </w:rPr>
        <w:t>商务：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罗貌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 xml:space="preserve">  手机号 ：13978027196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eastAsia="zh-CN"/>
        </w:rPr>
        <w:t> E-mail:</w:t>
      </w: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  <w:lang w:val="en-US" w:eastAsia="zh-CN"/>
        </w:rPr>
        <w:t>Mao.Luo@geely.com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技术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: 周作仕 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手机号：18977631513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Cs/>
          <w:sz w:val="24"/>
          <w:szCs w:val="24"/>
          <w:lang w:eastAsia="zh-CN"/>
        </w:rPr>
        <w:t>E-mail: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Zuoshi.Zhou@geely.com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开户名称：广西百矿铝业有限公司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开户银行：中国建设银行股份有限公司百色分行</w:t>
      </w:r>
    </w:p>
    <w:p>
      <w:pPr>
        <w:spacing w:line="440" w:lineRule="exact"/>
        <w:ind w:firstLine="480" w:firstLineChars="200"/>
        <w:jc w:val="left"/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  <w:highlight w:val="none"/>
        </w:rPr>
        <w:t>帐    号：45001676101050707075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注：无论投标结果如何，投标人自行承担所有与参加投标活动有关的全部费用。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投诉、举报电话：0571-28098168（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供应链管理部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）</w:t>
      </w:r>
    </w:p>
    <w:p>
      <w:pPr>
        <w:spacing w:line="440" w:lineRule="exact"/>
        <w:ind w:firstLine="480" w:firstLineChars="200"/>
        <w:jc w:val="left"/>
        <w:rPr>
          <w:rFonts w:ascii="微软雅黑" w:hAnsi="微软雅黑" w:eastAsia="微软雅黑" w:cs="微软雅黑"/>
          <w:bCs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举报邮箱：geelytech.bid@geely.com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招标人：</w:t>
      </w:r>
      <w:r>
        <w:rPr>
          <w:rFonts w:hint="eastAsia" w:ascii="微软雅黑" w:hAnsi="微软雅黑" w:eastAsia="微软雅黑" w:cs="微软雅黑"/>
          <w:sz w:val="24"/>
        </w:rPr>
        <w:t>广西百矿铝业有限公司</w:t>
      </w:r>
    </w:p>
    <w:p>
      <w:pPr>
        <w:spacing w:line="440" w:lineRule="exact"/>
        <w:ind w:firstLine="480" w:firstLineChars="200"/>
        <w:jc w:val="right"/>
        <w:rPr>
          <w:rFonts w:ascii="微软雅黑" w:hAnsi="微软雅黑" w:eastAsia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sz w:val="24"/>
          <w:szCs w:val="24"/>
        </w:rPr>
        <w:t>日期：202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年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03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>月</w:t>
      </w:r>
      <w:r>
        <w:rPr>
          <w:rFonts w:hint="eastAsia" w:ascii="微软雅黑" w:hAnsi="微软雅黑" w:eastAsia="微软雅黑" w:cs="微软雅黑"/>
          <w:bCs/>
          <w:sz w:val="24"/>
          <w:szCs w:val="24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bCs/>
          <w:sz w:val="24"/>
          <w:szCs w:val="24"/>
        </w:rPr>
        <w:t xml:space="preserve">日 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  <w:docPartObj>
        <w:docPartGallery w:val="autotext"/>
      </w:docPartObj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drawing>
        <wp:inline distT="0" distB="0" distL="0" distR="0">
          <wp:extent cx="1304290" cy="31369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4762" cy="314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4CCE2C"/>
    <w:multiLevelType w:val="singleLevel"/>
    <w:tmpl w:val="A74CCE2C"/>
    <w:lvl w:ilvl="0" w:tentative="0">
      <w:start w:val="1"/>
      <w:numFmt w:val="lowerLetter"/>
      <w:suff w:val="space"/>
      <w:lvlText w:val="%1."/>
      <w:lvlJc w:val="left"/>
    </w:lvl>
  </w:abstractNum>
  <w:abstractNum w:abstractNumId="1">
    <w:nsid w:val="D82E7689"/>
    <w:multiLevelType w:val="singleLevel"/>
    <w:tmpl w:val="D82E76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RjYjljOGZiZWNhYzE4MmYyZDkwY2E0NGZmODdkNmQ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4E2A89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047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17C7E"/>
    <w:rsid w:val="00E20D3B"/>
    <w:rsid w:val="00E265CB"/>
    <w:rsid w:val="00E36C66"/>
    <w:rsid w:val="00E85FBB"/>
    <w:rsid w:val="00E97291"/>
    <w:rsid w:val="00EA6CA2"/>
    <w:rsid w:val="00EE522C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9DF029F"/>
    <w:rsid w:val="0BDA768B"/>
    <w:rsid w:val="168D2D3D"/>
    <w:rsid w:val="1F2C0CFA"/>
    <w:rsid w:val="22FB759A"/>
    <w:rsid w:val="2CC76DED"/>
    <w:rsid w:val="34DA49FF"/>
    <w:rsid w:val="4009025C"/>
    <w:rsid w:val="419158F3"/>
    <w:rsid w:val="424E2D12"/>
    <w:rsid w:val="450760D5"/>
    <w:rsid w:val="50E643D3"/>
    <w:rsid w:val="6C5F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kern w:val="0"/>
      <w:szCs w:val="20"/>
    </w:rPr>
  </w:style>
  <w:style w:type="paragraph" w:styleId="4">
    <w:name w:val="annotation text"/>
    <w:basedOn w:val="1"/>
    <w:link w:val="19"/>
    <w:semiHidden/>
    <w:unhideWhenUsed/>
    <w:uiPriority w:val="99"/>
    <w:pPr>
      <w:jc w:val="left"/>
    </w:pPr>
  </w:style>
  <w:style w:type="paragraph" w:styleId="5">
    <w:name w:val="Date"/>
    <w:basedOn w:val="1"/>
    <w:next w:val="1"/>
    <w:link w:val="18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styleId="13">
    <w:name w:val="annotation reference"/>
    <w:basedOn w:val="9"/>
    <w:semiHidden/>
    <w:unhideWhenUsed/>
    <w:uiPriority w:val="99"/>
    <w:rPr>
      <w:sz w:val="21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7"/>
    <w:qFormat/>
    <w:uiPriority w:val="99"/>
    <w:rPr>
      <w:sz w:val="18"/>
      <w:szCs w:val="18"/>
    </w:rPr>
  </w:style>
  <w:style w:type="character" w:customStyle="1" w:styleId="18">
    <w:name w:val="日期 Char"/>
    <w:basedOn w:val="9"/>
    <w:link w:val="5"/>
    <w:semiHidden/>
    <w:qFormat/>
    <w:uiPriority w:val="99"/>
  </w:style>
  <w:style w:type="character" w:customStyle="1" w:styleId="19">
    <w:name w:val="批注文字 Char"/>
    <w:basedOn w:val="9"/>
    <w:link w:val="4"/>
    <w:semiHidden/>
    <w:uiPriority w:val="99"/>
  </w:style>
  <w:style w:type="character" w:customStyle="1" w:styleId="20">
    <w:name w:val="批注框文本 Char"/>
    <w:basedOn w:val="9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1874</Words>
  <Characters>2160</Characters>
  <Lines>13</Lines>
  <Paragraphs>3</Paragraphs>
  <TotalTime>4</TotalTime>
  <ScaleCrop>false</ScaleCrop>
  <LinksUpToDate>false</LinksUpToDate>
  <CharactersWithSpaces>2235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四夕羅</cp:lastModifiedBy>
  <dcterms:modified xsi:type="dcterms:W3CDTF">2023-03-06T00:56:44Z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1CC1B2DC32734F1ABF6962B6DD17BF6F</vt:lpwstr>
  </property>
</Properties>
</file>