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宋体" w:cs="Times New Roman"/>
          <w:b/>
          <w:bCs/>
          <w:sz w:val="28"/>
        </w:rPr>
        <w:t>脱硫浆液外送运输项目</w:t>
      </w:r>
      <w:r>
        <w:rPr>
          <w:rFonts w:ascii="Times New Roman" w:hAnsi="宋体" w:cs="Times New Roman"/>
          <w:b/>
          <w:bCs/>
          <w:sz w:val="28"/>
        </w:rPr>
        <w:t>报价表</w:t>
      </w:r>
    </w:p>
    <w:tbl>
      <w:tblPr>
        <w:tblStyle w:val="3"/>
        <w:tblW w:w="8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901"/>
        <w:gridCol w:w="2056"/>
        <w:gridCol w:w="705"/>
        <w:gridCol w:w="870"/>
        <w:gridCol w:w="960"/>
        <w:gridCol w:w="11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33" w:type="dxa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901" w:type="dxa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项目名称</w:t>
            </w:r>
          </w:p>
        </w:tc>
        <w:tc>
          <w:tcPr>
            <w:tcW w:w="2056" w:type="dxa"/>
            <w:vAlign w:val="center"/>
          </w:tcPr>
          <w:p>
            <w:pPr>
              <w:spacing w:line="360" w:lineRule="auto"/>
              <w:rPr>
                <w:rFonts w:hint="eastAsia" w:ascii="Times New Roman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起运地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到</w:t>
            </w:r>
            <w:r>
              <w:rPr>
                <w:rFonts w:hint="eastAsia" w:ascii="宋体" w:hAnsi="宋体"/>
                <w:color w:val="000000"/>
                <w:sz w:val="24"/>
              </w:rPr>
              <w:t>目的地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单位</w:t>
            </w:r>
          </w:p>
        </w:tc>
        <w:tc>
          <w:tcPr>
            <w:tcW w:w="870" w:type="dxa"/>
          </w:tcPr>
          <w:p>
            <w:pPr>
              <w:pStyle w:val="2"/>
              <w:snapToGrid w:val="0"/>
              <w:spacing w:line="440" w:lineRule="exact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计划</w:t>
            </w:r>
            <w:r>
              <w:rPr>
                <w:rFonts w:hint="eastAsia" w:ascii="Times New Roman" w:hAnsi="宋体" w:cs="Times New Roman"/>
                <w:sz w:val="24"/>
                <w:szCs w:val="24"/>
                <w:lang w:val="en-US" w:eastAsia="zh-CN"/>
              </w:rPr>
              <w:t>运输</w:t>
            </w:r>
            <w:r>
              <w:rPr>
                <w:rFonts w:ascii="Times New Roman" w:hAnsi="宋体" w:cs="Times New Roman"/>
                <w:sz w:val="24"/>
                <w:szCs w:val="24"/>
              </w:rPr>
              <w:t>数量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napToGrid w:val="0"/>
              <w:spacing w:line="440" w:lineRule="exact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综合单价</w:t>
            </w:r>
            <w:r>
              <w:rPr>
                <w:rFonts w:hint="eastAsia" w:ascii="Times New Roman" w:hAnsi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宋体" w:cs="Times New Roman"/>
                <w:sz w:val="24"/>
                <w:szCs w:val="24"/>
                <w:lang w:val="en-US" w:eastAsia="zh-CN"/>
              </w:rPr>
              <w:t>元/吨</w:t>
            </w:r>
            <w:r>
              <w:rPr>
                <w:rFonts w:hint="eastAsia" w:ascii="Times New Roman" w:hAnsi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合计</w:t>
            </w:r>
          </w:p>
        </w:tc>
        <w:tc>
          <w:tcPr>
            <w:tcW w:w="1633" w:type="dxa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" w:type="dxa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脱硫浆液外送运输项目</w:t>
            </w:r>
          </w:p>
        </w:tc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百色百矿发电有限公司田东电厂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至</w:t>
            </w:r>
            <w:r>
              <w:rPr>
                <w:rFonts w:hint="eastAsia" w:ascii="宋体" w:hAnsi="宋体"/>
                <w:color w:val="000000"/>
                <w:sz w:val="24"/>
              </w:rPr>
              <w:t>黎塘镇英德肥业有限公司</w:t>
            </w:r>
          </w:p>
        </w:tc>
        <w:tc>
          <w:tcPr>
            <w:tcW w:w="705" w:type="dxa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吨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1190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期限自2023年04月01日起，至2023年12月31日止。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25" w:type="dxa"/>
            <w:gridSpan w:val="6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总计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>
            <w:pPr>
              <w:pStyle w:val="2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568"/>
        <w:rPr>
          <w:rFonts w:ascii="Times New Roman" w:hAnsi="宋体" w:cs="Times New Roman"/>
          <w:sz w:val="24"/>
        </w:rPr>
      </w:pPr>
      <w:r>
        <w:rPr>
          <w:rFonts w:ascii="Times New Roman" w:hAnsi="宋体" w:cs="Times New Roman"/>
          <w:sz w:val="24"/>
        </w:rPr>
        <w:t>注：</w:t>
      </w:r>
      <w:r>
        <w:rPr>
          <w:rFonts w:hint="eastAsia" w:ascii="Times New Roman" w:hAnsi="宋体" w:cs="Times New Roman"/>
          <w:sz w:val="24"/>
        </w:rPr>
        <w:t xml:space="preserve"> 本报价表为一次报价，在一次报价的基础上询价方根据各</w:t>
      </w:r>
      <w:bookmarkStart w:id="0" w:name="_GoBack"/>
      <w:bookmarkEnd w:id="0"/>
      <w:r>
        <w:rPr>
          <w:rFonts w:hint="eastAsia" w:ascii="Times New Roman" w:hAnsi="宋体" w:cs="Times New Roman"/>
          <w:sz w:val="24"/>
        </w:rPr>
        <w:t>报价供应商一次报价的单价进行二次报价直至达到询价方所需要的</w:t>
      </w:r>
      <w:r>
        <w:rPr>
          <w:rFonts w:hint="eastAsia" w:ascii="Times New Roman" w:hAnsi="宋体" w:cs="Times New Roman"/>
          <w:sz w:val="24"/>
          <w:lang w:val="en-US" w:eastAsia="zh-CN"/>
        </w:rPr>
        <w:t>综合运输单价</w:t>
      </w:r>
      <w:r>
        <w:rPr>
          <w:rFonts w:hint="eastAsia" w:ascii="Times New Roman" w:hAnsi="宋体" w:cs="Times New Roman"/>
          <w:sz w:val="24"/>
        </w:rPr>
        <w:t>要求为止。</w:t>
      </w:r>
      <w:r>
        <w:rPr>
          <w:rFonts w:hint="eastAsia" w:ascii="Times New Roman" w:hAnsi="宋体" w:cs="Times New Roman"/>
          <w:sz w:val="24"/>
          <w:lang w:val="en-US" w:eastAsia="zh-CN"/>
        </w:rPr>
        <w:t>将报价文件盖章扫描后以加密函件、PDF格式方式上传至我司邮箱zuren.lu@geely.com。邮件标题命名为XX公司+XX项目报价单。</w:t>
      </w:r>
    </w:p>
    <w:p>
      <w:pPr>
        <w:spacing w:line="500" w:lineRule="exact"/>
        <w:ind w:firstLine="568"/>
        <w:rPr>
          <w:rFonts w:hint="eastAsia" w:ascii="Times New Roman" w:hAnsi="宋体" w:cs="Times New Roman" w:eastAsiaTheme="minorEastAsia"/>
          <w:sz w:val="24"/>
          <w:lang w:val="en-US" w:eastAsia="zh-CN"/>
        </w:rPr>
      </w:pPr>
      <w:r>
        <w:rPr>
          <w:rFonts w:hint="eastAsia" w:ascii="Times New Roman" w:hAnsi="宋体" w:cs="Times New Roman"/>
          <w:sz w:val="24"/>
        </w:rPr>
        <w:t>本表数量为本次报价估算数量，实际</w:t>
      </w:r>
      <w:r>
        <w:rPr>
          <w:rFonts w:hint="eastAsia" w:ascii="Times New Roman" w:hAnsi="宋体" w:cs="Times New Roman"/>
          <w:sz w:val="24"/>
          <w:lang w:val="en-US" w:eastAsia="zh-CN"/>
        </w:rPr>
        <w:t>运输</w:t>
      </w:r>
      <w:r>
        <w:rPr>
          <w:rFonts w:hint="eastAsia" w:ascii="Times New Roman" w:hAnsi="宋体" w:cs="Times New Roman"/>
          <w:sz w:val="24"/>
        </w:rPr>
        <w:t>及结算数量以</w:t>
      </w:r>
      <w:r>
        <w:rPr>
          <w:rFonts w:hint="eastAsia" w:ascii="Times New Roman" w:hAnsi="宋体" w:cs="Times New Roman"/>
          <w:sz w:val="24"/>
          <w:lang w:val="en-US" w:eastAsia="zh-CN"/>
        </w:rPr>
        <w:t>实际运输量</w:t>
      </w:r>
      <w:r>
        <w:rPr>
          <w:rFonts w:hint="eastAsia" w:ascii="Times New Roman" w:hAnsi="宋体" w:cs="Times New Roman"/>
          <w:sz w:val="24"/>
        </w:rPr>
        <w:t>为准。本项目的运输车辆所在运输企业具备《道路危险货物运输经营许可证》或《危险化学品准运证》</w:t>
      </w:r>
      <w:r>
        <w:rPr>
          <w:rFonts w:hint="eastAsia" w:ascii="Times New Roman" w:hAnsi="宋体" w:cs="Times New Roman"/>
          <w:sz w:val="24"/>
          <w:lang w:eastAsia="zh-CN"/>
        </w:rPr>
        <w:t>，</w:t>
      </w:r>
      <w:r>
        <w:rPr>
          <w:rFonts w:hint="eastAsia" w:ascii="Times New Roman" w:hAnsi="宋体" w:cs="Times New Roman"/>
          <w:sz w:val="24"/>
          <w:lang w:val="en-US" w:eastAsia="zh-CN"/>
        </w:rPr>
        <w:t>具有</w:t>
      </w:r>
      <w:r>
        <w:rPr>
          <w:rFonts w:hint="eastAsia" w:ascii="Times New Roman" w:hAnsi="宋体" w:cs="Times New Roman"/>
          <w:sz w:val="24"/>
        </w:rPr>
        <w:t>危险货物运输（8类）</w:t>
      </w:r>
      <w:r>
        <w:rPr>
          <w:rFonts w:hint="eastAsia" w:ascii="Times New Roman" w:hAnsi="宋体" w:cs="Times New Roman"/>
          <w:sz w:val="24"/>
          <w:lang w:val="en-US" w:eastAsia="zh-CN"/>
        </w:rPr>
        <w:t>资质。</w:t>
      </w:r>
    </w:p>
    <w:p>
      <w:pPr>
        <w:spacing w:line="500" w:lineRule="exact"/>
        <w:ind w:firstLine="568"/>
        <w:rPr>
          <w:rFonts w:ascii="Times New Roman" w:hAnsi="宋体" w:cs="Times New Roman"/>
          <w:sz w:val="24"/>
        </w:rPr>
      </w:pPr>
      <w:r>
        <w:rPr>
          <w:rFonts w:hint="eastAsia" w:ascii="Times New Roman" w:hAnsi="宋体" w:cs="Times New Roman"/>
          <w:sz w:val="24"/>
        </w:rPr>
        <w:t>报价方式：</w:t>
      </w:r>
    </w:p>
    <w:p>
      <w:pPr>
        <w:spacing w:line="500" w:lineRule="exact"/>
        <w:ind w:firstLine="568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1.固定价格</w:t>
      </w:r>
    </w:p>
    <w:p>
      <w:pPr>
        <w:pStyle w:val="2"/>
        <w:spacing w:line="440" w:lineRule="exact"/>
        <w:ind w:firstLine="480"/>
        <w:rPr>
          <w:rFonts w:ascii="Times New Roman" w:hAnsi="宋体" w:cs="Times New Roman"/>
          <w:sz w:val="24"/>
          <w:szCs w:val="24"/>
        </w:rPr>
      </w:pPr>
      <w:r>
        <w:rPr>
          <w:rFonts w:hint="eastAsia" w:ascii="Times New Roman" w:hAnsi="宋体" w:cs="Times New Roman"/>
          <w:sz w:val="24"/>
          <w:szCs w:val="24"/>
        </w:rPr>
        <w:t>本表综合单价，包括为</w:t>
      </w:r>
      <w:r>
        <w:rPr>
          <w:rFonts w:hint="eastAsia" w:ascii="宋体" w:hAnsi="宋体"/>
          <w:color w:val="000000"/>
          <w:sz w:val="24"/>
        </w:rPr>
        <w:t>脱硫浆液</w:t>
      </w:r>
      <w:r>
        <w:rPr>
          <w:rFonts w:hint="eastAsia" w:ascii="Times New Roman" w:hAnsi="宋体" w:cs="Times New Roman"/>
          <w:sz w:val="24"/>
          <w:szCs w:val="24"/>
        </w:rPr>
        <w:t>直至安全卸货至</w:t>
      </w:r>
      <w:r>
        <w:rPr>
          <w:rFonts w:hint="eastAsia" w:ascii="Times New Roman" w:hAnsi="宋体" w:cs="Times New Roman"/>
          <w:sz w:val="24"/>
          <w:szCs w:val="24"/>
          <w:lang w:val="en-US" w:eastAsia="zh-CN"/>
        </w:rPr>
        <w:t>英德肥业</w:t>
      </w:r>
      <w:r>
        <w:rPr>
          <w:rFonts w:hint="eastAsia" w:ascii="Times New Roman" w:hAnsi="宋体" w:cs="Times New Roman"/>
          <w:sz w:val="24"/>
          <w:szCs w:val="24"/>
        </w:rPr>
        <w:t>储存的所发生的人工、材料、设备、税金（</w:t>
      </w:r>
      <w:r>
        <w:rPr>
          <w:rFonts w:hint="eastAsia" w:ascii="Times New Roman" w:hAnsi="宋体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宋体" w:cs="Times New Roman"/>
          <w:sz w:val="24"/>
          <w:szCs w:val="24"/>
        </w:rPr>
        <w:t>%增值税专用发票）、利润、保险等一切费用，包括运输、保险等一切环节。</w:t>
      </w:r>
    </w:p>
    <w:p>
      <w:pPr>
        <w:pStyle w:val="2"/>
        <w:spacing w:line="440" w:lineRule="exact"/>
        <w:ind w:firstLine="446" w:firstLineChars="186"/>
        <w:rPr>
          <w:rFonts w:ascii="Times New Roman" w:hAnsi="Times New Roman" w:cs="Times New Roman"/>
          <w:sz w:val="24"/>
        </w:rPr>
      </w:pPr>
    </w:p>
    <w:p>
      <w:pPr>
        <w:pStyle w:val="2"/>
        <w:spacing w:line="440" w:lineRule="exact"/>
        <w:ind w:firstLine="1440" w:firstLineChars="6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（法定代表人或授权代理人签字）</w:t>
      </w:r>
    </w:p>
    <w:p>
      <w:pPr>
        <w:pStyle w:val="2"/>
        <w:spacing w:line="440" w:lineRule="exact"/>
        <w:ind w:firstLine="409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（日期）</w:t>
      </w:r>
    </w:p>
    <w:p>
      <w:pPr>
        <w:pStyle w:val="2"/>
        <w:spacing w:line="440" w:lineRule="exact"/>
        <w:ind w:firstLine="409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（印刷体姓名）</w:t>
      </w:r>
    </w:p>
    <w:p>
      <w:pPr>
        <w:pStyle w:val="2"/>
        <w:spacing w:line="440" w:lineRule="exact"/>
        <w:ind w:firstLine="409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（</w:t>
      </w:r>
      <w:r>
        <w:rPr>
          <w:rFonts w:hint="eastAsia" w:hAnsi="宋体"/>
          <w:sz w:val="24"/>
          <w:szCs w:val="24"/>
          <w:lang w:val="en-US" w:eastAsia="zh-CN"/>
        </w:rPr>
        <w:t>电话</w:t>
      </w:r>
      <w:r>
        <w:rPr>
          <w:rFonts w:hint="eastAsia" w:hAnsi="宋体"/>
          <w:sz w:val="24"/>
          <w:szCs w:val="24"/>
        </w:rPr>
        <w:t>）</w:t>
      </w:r>
    </w:p>
    <w:p>
      <w:pPr>
        <w:pStyle w:val="2"/>
        <w:spacing w:line="440" w:lineRule="exact"/>
        <w:ind w:firstLine="4095"/>
        <w:rPr>
          <w:rFonts w:hAnsi="宋体"/>
          <w:color w:val="auto"/>
          <w:sz w:val="24"/>
          <w:szCs w:val="24"/>
          <w:u w:val="single"/>
        </w:rPr>
      </w:pPr>
      <w:r>
        <w:rPr>
          <w:rFonts w:hint="eastAsia" w:hAnsi="宋体"/>
          <w:color w:val="auto"/>
          <w:sz w:val="24"/>
          <w:szCs w:val="24"/>
        </w:rPr>
        <w:t>（报价人名称）</w:t>
      </w:r>
    </w:p>
    <w:p>
      <w:pPr>
        <w:pStyle w:val="2"/>
        <w:spacing w:line="440" w:lineRule="exact"/>
        <w:ind w:firstLine="4095"/>
        <w:rPr>
          <w:rFonts w:hAnsi="宋体"/>
          <w:color w:val="auto"/>
          <w:sz w:val="24"/>
          <w:szCs w:val="24"/>
          <w:u w:val="single"/>
        </w:rPr>
      </w:pPr>
      <w:r>
        <w:rPr>
          <w:rFonts w:hint="eastAsia" w:hAnsi="宋体"/>
          <w:color w:val="auto"/>
          <w:sz w:val="24"/>
          <w:szCs w:val="24"/>
        </w:rPr>
        <w:t>（报价人地址）</w:t>
      </w:r>
    </w:p>
    <w:p>
      <w:pPr>
        <w:pStyle w:val="2"/>
        <w:spacing w:line="440" w:lineRule="exact"/>
        <w:ind w:firstLine="4095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 xml:space="preserve">（印章）    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B0253"/>
    <w:rsid w:val="011816B3"/>
    <w:rsid w:val="15B74C5A"/>
    <w:rsid w:val="1FD6565A"/>
    <w:rsid w:val="3B906A14"/>
    <w:rsid w:val="48B02153"/>
    <w:rsid w:val="58307DE0"/>
    <w:rsid w:val="63DE0CE3"/>
    <w:rsid w:val="66C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2021-04-23T08:22:00Z</dcterms:created>
  <dc:creator>林复兴</dc:creator>
  <cp:lastModifiedBy>陆祖仁</cp:lastModifiedBy>
  <dcterms:modified xsi:type="dcterms:W3CDTF">2023-03-09T11:12:14Z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