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吉利百矿电解铝业务部2023年夹布胶管采购项目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生产辅料类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吉利百矿电解铝业务部2023年夹布胶管采购项目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为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zh-CN"/>
        </w:rPr>
        <w:t>确保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zh-CN"/>
        </w:rPr>
        <w:t>设备运行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就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吉利百矿电解铝业务部2023年夹布胶管采购项目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zh-CN" w:eastAsia="zh-CN"/>
        </w:rPr>
        <w:t>进行联合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公开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欢迎有实力的单位参与此次招标活动。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9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1418"/>
        <w:gridCol w:w="1726"/>
        <w:gridCol w:w="1300"/>
        <w:gridCol w:w="681"/>
        <w:gridCol w:w="681"/>
        <w:gridCol w:w="29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（送货地点）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田阳铝厂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夹布胶管、钢丝胶管、双头扣压气管、高压风管等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具体以招标文件技术任务书为准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广西百色市田阳区头塘镇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新山铝产业示范园 经一路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德保铝厂</w:t>
            </w:r>
          </w:p>
        </w:tc>
        <w:tc>
          <w:tcPr>
            <w:tcW w:w="9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广西百色市德保县马隘铝产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田林铝厂</w:t>
            </w:r>
          </w:p>
        </w:tc>
        <w:tc>
          <w:tcPr>
            <w:tcW w:w="9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田林县旧州镇板坚工业园区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隆林铝厂</w:t>
            </w:r>
          </w:p>
        </w:tc>
        <w:tc>
          <w:tcPr>
            <w:tcW w:w="9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隆林各族自治县平班镇母姑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村下寨屯（百矿铝厂）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备注：具体技术参数详见招标文件技术任务书。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资质要求：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营业执照经营范围包含橡胶制品经营内容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年在国内不少于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2个类似夹布胶管供应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合同供货清单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4.投标报名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1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1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（未在招标采购平台上注册过的供应商，因注册后需要审核，请至少提前一天进行注册）。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480" w:lineRule="exact"/>
        <w:ind w:left="425" w:hanging="425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480" w:lineRule="exact"/>
        <w:ind w:left="425" w:hanging="425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480" w:lineRule="exact"/>
        <w:ind w:left="425" w:hanging="425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480" w:lineRule="exact"/>
        <w:ind w:left="425" w:hanging="425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近三年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经第三方审计的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财务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审计报告或税务系统下载的年度财务报表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资料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XXX供应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广西百矿铝业有限公司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广西德保百矿铝业有限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（合同内容：夹布胶管供应）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  <w:t>收款单位名称：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eastAsia="zh-CN"/>
        </w:rPr>
        <w:t>广西百矿铝业有限公司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left="479" w:leftChars="228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  <w:t>开户行：中国建设银行股份有限公司百色分行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  <w:br w:type="textWrapping"/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  <w:t>账号：45001676101050707075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FF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 w:eastAsia="zh-CN"/>
        </w:rPr>
        <w:t>广西百矿铝业有限公司、广西德保百矿铝业有限公司、广西田林百矿铝业有限公司、广西隆林百矿铝业有限公司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招标组织单位：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 w:eastAsia="zh-CN"/>
        </w:rPr>
        <w:t>广西百矿铝业有限公司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招标组织单位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地址：广西百色市田阳区头塘镇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新山铝产业园经一路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吉利百矿集团开标室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商务：班海姗 手机号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18377655133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Haishan.Ban@geely.com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: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周作仕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  <w:lang w:eastAsia="zh-CN"/>
        </w:rPr>
        <w:t>手机号 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</w:rPr>
        <w:t>18977631513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  <w:lang w:eastAsia="zh-CN"/>
        </w:rPr>
        <w:t>E-mail:Zuoshi.Zhou@geely.com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科技供应链管理部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440" w:lineRule="exact"/>
        <w:ind w:firstLine="480" w:firstLineChars="200"/>
        <w:jc w:val="center"/>
        <w:rPr>
          <w:rFonts w:hint="eastAsia" w:ascii="微软雅黑" w:hAnsi="微软雅黑" w:eastAsia="微软雅黑" w:cs="微软雅黑"/>
          <w:bCs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zh-CN" w:eastAsia="zh-CN"/>
        </w:rPr>
        <w:t>广西百矿铝业有限公司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 xml:space="preserve">日 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highlight w:val="none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highlight w:val="none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91" w:right="1417" w:bottom="1191" w:left="1417" w:header="851" w:footer="79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FF4E2"/>
    <w:multiLevelType w:val="singleLevel"/>
    <w:tmpl w:val="D61FF4E2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172A27"/>
    <w:rsid w:val="001D7D8F"/>
    <w:rsid w:val="01145609"/>
    <w:rsid w:val="01247580"/>
    <w:rsid w:val="013E61E2"/>
    <w:rsid w:val="0176292B"/>
    <w:rsid w:val="01F42598"/>
    <w:rsid w:val="022834DB"/>
    <w:rsid w:val="024D2111"/>
    <w:rsid w:val="02557C87"/>
    <w:rsid w:val="02B046A6"/>
    <w:rsid w:val="02B510FA"/>
    <w:rsid w:val="02FB4A5D"/>
    <w:rsid w:val="03261624"/>
    <w:rsid w:val="032A3FCC"/>
    <w:rsid w:val="03391357"/>
    <w:rsid w:val="03CF73B2"/>
    <w:rsid w:val="047B2B1B"/>
    <w:rsid w:val="04B97278"/>
    <w:rsid w:val="05EF3F4F"/>
    <w:rsid w:val="08066011"/>
    <w:rsid w:val="08E6448C"/>
    <w:rsid w:val="092B7632"/>
    <w:rsid w:val="0A4A209B"/>
    <w:rsid w:val="0AC92FC0"/>
    <w:rsid w:val="0AF0679F"/>
    <w:rsid w:val="0B1D3D7C"/>
    <w:rsid w:val="0B9A481D"/>
    <w:rsid w:val="0BC501FF"/>
    <w:rsid w:val="0C4B4F46"/>
    <w:rsid w:val="0CA5394B"/>
    <w:rsid w:val="0D130222"/>
    <w:rsid w:val="0D505C1B"/>
    <w:rsid w:val="0E323572"/>
    <w:rsid w:val="0E531C1A"/>
    <w:rsid w:val="0E767028"/>
    <w:rsid w:val="0EB03E61"/>
    <w:rsid w:val="0EF34AB0"/>
    <w:rsid w:val="0F0B02CD"/>
    <w:rsid w:val="0F3F1AA3"/>
    <w:rsid w:val="10C233A9"/>
    <w:rsid w:val="10EC5B3E"/>
    <w:rsid w:val="11A12C17"/>
    <w:rsid w:val="11DA1F24"/>
    <w:rsid w:val="11E44815"/>
    <w:rsid w:val="12165383"/>
    <w:rsid w:val="12697720"/>
    <w:rsid w:val="13574F3A"/>
    <w:rsid w:val="138E06B8"/>
    <w:rsid w:val="143A44EA"/>
    <w:rsid w:val="146A5792"/>
    <w:rsid w:val="146C382B"/>
    <w:rsid w:val="14EA231D"/>
    <w:rsid w:val="156644E7"/>
    <w:rsid w:val="15866F89"/>
    <w:rsid w:val="15FA0478"/>
    <w:rsid w:val="165A52E4"/>
    <w:rsid w:val="1689600C"/>
    <w:rsid w:val="169336AF"/>
    <w:rsid w:val="17EA448C"/>
    <w:rsid w:val="183B2BE1"/>
    <w:rsid w:val="18B47BD7"/>
    <w:rsid w:val="190A6C98"/>
    <w:rsid w:val="19232435"/>
    <w:rsid w:val="19B317F0"/>
    <w:rsid w:val="19EC0189"/>
    <w:rsid w:val="1AAF3709"/>
    <w:rsid w:val="1B17231A"/>
    <w:rsid w:val="1B7E2F52"/>
    <w:rsid w:val="1BD23F86"/>
    <w:rsid w:val="1CF2587F"/>
    <w:rsid w:val="1DF833A9"/>
    <w:rsid w:val="1E625304"/>
    <w:rsid w:val="1EF94E9C"/>
    <w:rsid w:val="1F5E6095"/>
    <w:rsid w:val="1F6F52D8"/>
    <w:rsid w:val="1F7F16E3"/>
    <w:rsid w:val="205C71BD"/>
    <w:rsid w:val="20716543"/>
    <w:rsid w:val="21DE79D4"/>
    <w:rsid w:val="22095287"/>
    <w:rsid w:val="221C055F"/>
    <w:rsid w:val="2227222A"/>
    <w:rsid w:val="225A73C1"/>
    <w:rsid w:val="22D0336F"/>
    <w:rsid w:val="235B2DA4"/>
    <w:rsid w:val="23D8367D"/>
    <w:rsid w:val="247F5B01"/>
    <w:rsid w:val="24FF1F81"/>
    <w:rsid w:val="25A0388E"/>
    <w:rsid w:val="25B12B77"/>
    <w:rsid w:val="26202C93"/>
    <w:rsid w:val="266A026F"/>
    <w:rsid w:val="26B24DF9"/>
    <w:rsid w:val="26F50A4F"/>
    <w:rsid w:val="27486A51"/>
    <w:rsid w:val="276A2839"/>
    <w:rsid w:val="28001741"/>
    <w:rsid w:val="28E676DC"/>
    <w:rsid w:val="290D1F44"/>
    <w:rsid w:val="29F574D6"/>
    <w:rsid w:val="2A487B51"/>
    <w:rsid w:val="2A4E5228"/>
    <w:rsid w:val="2A562521"/>
    <w:rsid w:val="2A664A66"/>
    <w:rsid w:val="2AC31A97"/>
    <w:rsid w:val="2ADA1F54"/>
    <w:rsid w:val="2AFA6CE1"/>
    <w:rsid w:val="2BAE1354"/>
    <w:rsid w:val="2C8326E4"/>
    <w:rsid w:val="2C9973F8"/>
    <w:rsid w:val="2D084276"/>
    <w:rsid w:val="2D086A5A"/>
    <w:rsid w:val="2D6E2B18"/>
    <w:rsid w:val="2D8F379E"/>
    <w:rsid w:val="2E44718D"/>
    <w:rsid w:val="2E8250B1"/>
    <w:rsid w:val="2EB661A5"/>
    <w:rsid w:val="309B7A48"/>
    <w:rsid w:val="30A0299D"/>
    <w:rsid w:val="30F6566A"/>
    <w:rsid w:val="31A82723"/>
    <w:rsid w:val="3208539B"/>
    <w:rsid w:val="32565658"/>
    <w:rsid w:val="32786EF6"/>
    <w:rsid w:val="32D3412D"/>
    <w:rsid w:val="32E21E22"/>
    <w:rsid w:val="33484942"/>
    <w:rsid w:val="33C5441B"/>
    <w:rsid w:val="33F226CE"/>
    <w:rsid w:val="34423E8F"/>
    <w:rsid w:val="35872826"/>
    <w:rsid w:val="36FA581D"/>
    <w:rsid w:val="371C75AC"/>
    <w:rsid w:val="372D5FD0"/>
    <w:rsid w:val="3785109A"/>
    <w:rsid w:val="383E03FD"/>
    <w:rsid w:val="384A3BEB"/>
    <w:rsid w:val="38E06631"/>
    <w:rsid w:val="3A20148E"/>
    <w:rsid w:val="3A335C4A"/>
    <w:rsid w:val="3A4E5CD0"/>
    <w:rsid w:val="3A932306"/>
    <w:rsid w:val="3AAD5BAB"/>
    <w:rsid w:val="3AFD1498"/>
    <w:rsid w:val="3B1A2AF4"/>
    <w:rsid w:val="3B950B19"/>
    <w:rsid w:val="3B9D5C20"/>
    <w:rsid w:val="3BC5272B"/>
    <w:rsid w:val="3BF23CE7"/>
    <w:rsid w:val="3BF76C89"/>
    <w:rsid w:val="3C844C04"/>
    <w:rsid w:val="3CB704EE"/>
    <w:rsid w:val="3CF7166D"/>
    <w:rsid w:val="3D4249FF"/>
    <w:rsid w:val="3D527AF5"/>
    <w:rsid w:val="3E304603"/>
    <w:rsid w:val="3EDC54B6"/>
    <w:rsid w:val="3F4A6A3A"/>
    <w:rsid w:val="3FC52CD3"/>
    <w:rsid w:val="3FCC2FD1"/>
    <w:rsid w:val="40067C07"/>
    <w:rsid w:val="40285C30"/>
    <w:rsid w:val="41764A2B"/>
    <w:rsid w:val="43B31BBC"/>
    <w:rsid w:val="44494453"/>
    <w:rsid w:val="44FE459A"/>
    <w:rsid w:val="455A29E7"/>
    <w:rsid w:val="46004114"/>
    <w:rsid w:val="469D2CCA"/>
    <w:rsid w:val="47285F3F"/>
    <w:rsid w:val="48102E25"/>
    <w:rsid w:val="48376942"/>
    <w:rsid w:val="48DB4BFB"/>
    <w:rsid w:val="49951984"/>
    <w:rsid w:val="499B232F"/>
    <w:rsid w:val="49AB37D4"/>
    <w:rsid w:val="4A0B10CE"/>
    <w:rsid w:val="4A7531D6"/>
    <w:rsid w:val="4B165404"/>
    <w:rsid w:val="4B3F6DC9"/>
    <w:rsid w:val="4B4614E8"/>
    <w:rsid w:val="4BA23901"/>
    <w:rsid w:val="4BAF63BF"/>
    <w:rsid w:val="4BB226CF"/>
    <w:rsid w:val="4CAF749A"/>
    <w:rsid w:val="4CDF6259"/>
    <w:rsid w:val="4D027C0A"/>
    <w:rsid w:val="4D29462F"/>
    <w:rsid w:val="4D4203D5"/>
    <w:rsid w:val="4D816991"/>
    <w:rsid w:val="4EB9097C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272689E"/>
    <w:rsid w:val="52B4767F"/>
    <w:rsid w:val="53602C91"/>
    <w:rsid w:val="5382021E"/>
    <w:rsid w:val="539A0248"/>
    <w:rsid w:val="53A019B1"/>
    <w:rsid w:val="53C0025C"/>
    <w:rsid w:val="541067D7"/>
    <w:rsid w:val="54BF71FA"/>
    <w:rsid w:val="550448B0"/>
    <w:rsid w:val="55496A0F"/>
    <w:rsid w:val="55F41EB4"/>
    <w:rsid w:val="57ED1672"/>
    <w:rsid w:val="58FB441B"/>
    <w:rsid w:val="595461AF"/>
    <w:rsid w:val="59631FEE"/>
    <w:rsid w:val="596439B2"/>
    <w:rsid w:val="5A63421E"/>
    <w:rsid w:val="5ACA62B5"/>
    <w:rsid w:val="5AD45511"/>
    <w:rsid w:val="5AF04D43"/>
    <w:rsid w:val="5B962018"/>
    <w:rsid w:val="5BB12BF2"/>
    <w:rsid w:val="5C006A47"/>
    <w:rsid w:val="5C8A4190"/>
    <w:rsid w:val="5CA12E4D"/>
    <w:rsid w:val="5CB87248"/>
    <w:rsid w:val="5CBE4833"/>
    <w:rsid w:val="5D184CAE"/>
    <w:rsid w:val="5D963C63"/>
    <w:rsid w:val="5E09758C"/>
    <w:rsid w:val="5E0D0C8A"/>
    <w:rsid w:val="5E8B77B9"/>
    <w:rsid w:val="5EC24503"/>
    <w:rsid w:val="5ED163CC"/>
    <w:rsid w:val="5EF15762"/>
    <w:rsid w:val="5FA20179"/>
    <w:rsid w:val="60681DE6"/>
    <w:rsid w:val="60AE3C5C"/>
    <w:rsid w:val="61A134C4"/>
    <w:rsid w:val="62820DDE"/>
    <w:rsid w:val="628E67D5"/>
    <w:rsid w:val="6331362E"/>
    <w:rsid w:val="635A5109"/>
    <w:rsid w:val="636A54E7"/>
    <w:rsid w:val="63E405F4"/>
    <w:rsid w:val="649410BE"/>
    <w:rsid w:val="64E64BB9"/>
    <w:rsid w:val="65CC5CFA"/>
    <w:rsid w:val="676C0174"/>
    <w:rsid w:val="67A12167"/>
    <w:rsid w:val="68336E40"/>
    <w:rsid w:val="683E1A6D"/>
    <w:rsid w:val="683F7593"/>
    <w:rsid w:val="69366FB6"/>
    <w:rsid w:val="69392234"/>
    <w:rsid w:val="69C24315"/>
    <w:rsid w:val="6A357B03"/>
    <w:rsid w:val="6A5512F0"/>
    <w:rsid w:val="6AA21219"/>
    <w:rsid w:val="6AE02E8A"/>
    <w:rsid w:val="6C58731C"/>
    <w:rsid w:val="6C8F2B8E"/>
    <w:rsid w:val="6D070820"/>
    <w:rsid w:val="6D1977F6"/>
    <w:rsid w:val="6D3D10EF"/>
    <w:rsid w:val="6E3511E3"/>
    <w:rsid w:val="6E6D305C"/>
    <w:rsid w:val="6E930B96"/>
    <w:rsid w:val="6F196786"/>
    <w:rsid w:val="6F743FC6"/>
    <w:rsid w:val="6F7C517B"/>
    <w:rsid w:val="6FD26F3F"/>
    <w:rsid w:val="700B3457"/>
    <w:rsid w:val="70DA60AB"/>
    <w:rsid w:val="70F74E78"/>
    <w:rsid w:val="70FA6B7B"/>
    <w:rsid w:val="71233EF6"/>
    <w:rsid w:val="71B022EE"/>
    <w:rsid w:val="72184E0E"/>
    <w:rsid w:val="72184E79"/>
    <w:rsid w:val="727E1D6D"/>
    <w:rsid w:val="72D509D3"/>
    <w:rsid w:val="72DC7494"/>
    <w:rsid w:val="735F6D3B"/>
    <w:rsid w:val="740578E3"/>
    <w:rsid w:val="742529DB"/>
    <w:rsid w:val="758701B2"/>
    <w:rsid w:val="75D44595"/>
    <w:rsid w:val="75E20A21"/>
    <w:rsid w:val="75EC2C69"/>
    <w:rsid w:val="75FE7590"/>
    <w:rsid w:val="764A00F3"/>
    <w:rsid w:val="76515A45"/>
    <w:rsid w:val="76D07E61"/>
    <w:rsid w:val="76D24A47"/>
    <w:rsid w:val="76E13C50"/>
    <w:rsid w:val="76E83563"/>
    <w:rsid w:val="76EA3FD8"/>
    <w:rsid w:val="76F94EB0"/>
    <w:rsid w:val="77543075"/>
    <w:rsid w:val="77581B01"/>
    <w:rsid w:val="776C230B"/>
    <w:rsid w:val="78F72FA8"/>
    <w:rsid w:val="79037204"/>
    <w:rsid w:val="790A612F"/>
    <w:rsid w:val="79155127"/>
    <w:rsid w:val="79E35D34"/>
    <w:rsid w:val="7A0C592D"/>
    <w:rsid w:val="7A486F85"/>
    <w:rsid w:val="7A5E5F9F"/>
    <w:rsid w:val="7B0C0F79"/>
    <w:rsid w:val="7B332D7F"/>
    <w:rsid w:val="7C51354F"/>
    <w:rsid w:val="7D390712"/>
    <w:rsid w:val="7D4D43F3"/>
    <w:rsid w:val="7DB91A4C"/>
    <w:rsid w:val="7DD86068"/>
    <w:rsid w:val="7E16443C"/>
    <w:rsid w:val="7E672980"/>
    <w:rsid w:val="7EF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444444"/>
      <w:u w:val="none"/>
    </w:rPr>
  </w:style>
  <w:style w:type="character" w:styleId="13">
    <w:name w:val="Emphasis"/>
    <w:basedOn w:val="10"/>
    <w:qFormat/>
    <w:uiPriority w:val="0"/>
    <w:rPr>
      <w:rFonts w:hint="eastAsia" w:ascii="微软雅黑" w:hAnsi="微软雅黑" w:eastAsia="微软雅黑" w:cs="微软雅黑"/>
    </w:rPr>
  </w:style>
  <w:style w:type="character" w:styleId="14">
    <w:name w:val="Hyperlink"/>
    <w:basedOn w:val="10"/>
    <w:qFormat/>
    <w:uiPriority w:val="0"/>
    <w:rPr>
      <w:color w:val="444444"/>
      <w:u w:val="none"/>
    </w:rPr>
  </w:style>
  <w:style w:type="character" w:customStyle="1" w:styleId="15">
    <w:name w:val="enter"/>
    <w:basedOn w:val="10"/>
    <w:qFormat/>
    <w:uiPriority w:val="0"/>
  </w:style>
  <w:style w:type="character" w:customStyle="1" w:styleId="16">
    <w:name w:val="realname"/>
    <w:basedOn w:val="10"/>
    <w:qFormat/>
    <w:uiPriority w:val="0"/>
  </w:style>
  <w:style w:type="character" w:customStyle="1" w:styleId="17">
    <w:name w:val="realname1"/>
    <w:basedOn w:val="10"/>
    <w:qFormat/>
    <w:uiPriority w:val="0"/>
  </w:style>
  <w:style w:type="character" w:customStyle="1" w:styleId="18">
    <w:name w:val="bwvip"/>
    <w:basedOn w:val="10"/>
    <w:qFormat/>
    <w:uiPriority w:val="0"/>
  </w:style>
  <w:style w:type="character" w:customStyle="1" w:styleId="19">
    <w:name w:val="vip"/>
    <w:basedOn w:val="10"/>
    <w:qFormat/>
    <w:uiPriority w:val="0"/>
  </w:style>
  <w:style w:type="character" w:customStyle="1" w:styleId="20">
    <w:name w:val="book"/>
    <w:basedOn w:val="10"/>
    <w:qFormat/>
    <w:uiPriority w:val="0"/>
  </w:style>
  <w:style w:type="character" w:customStyle="1" w:styleId="21">
    <w:name w:val="enter1"/>
    <w:basedOn w:val="10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10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8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2760</Words>
  <Characters>3447</Characters>
  <Lines>0</Lines>
  <Paragraphs>0</Paragraphs>
  <TotalTime>6</TotalTime>
  <ScaleCrop>false</ScaleCrop>
  <LinksUpToDate>false</LinksUpToDate>
  <CharactersWithSpaces>3505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相聚</cp:lastModifiedBy>
  <cp:lastPrinted>2023-03-09T02:38:00Z</cp:lastPrinted>
  <dcterms:modified xsi:type="dcterms:W3CDTF">2023-03-10T01:07:03Z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8F174C172F3D4E179351CED9E42D6DA7</vt:lpwstr>
  </property>
</Properties>
</file>