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bCs/>
          <w:kern w:val="44"/>
          <w:sz w:val="32"/>
          <w:szCs w:val="32"/>
          <w:lang w:val="en-US" w:eastAsia="zh-CN"/>
        </w:rPr>
      </w:pPr>
      <w:bookmarkStart w:id="11" w:name="_GoBack"/>
      <w:bookmarkEnd w:id="11"/>
      <w:r>
        <w:rPr>
          <w:rFonts w:hint="eastAsia"/>
          <w:b/>
          <w:bCs/>
          <w:kern w:val="44"/>
          <w:sz w:val="32"/>
          <w:szCs w:val="32"/>
          <w:lang w:val="en-US" w:eastAsia="zh-CN"/>
        </w:rPr>
        <w:t>附件2：</w:t>
      </w:r>
    </w:p>
    <w:p>
      <w:pPr>
        <w:pStyle w:val="3"/>
        <w:jc w:val="center"/>
      </w:pPr>
      <w:bookmarkStart w:id="0" w:name="_Toc13353"/>
      <w:r>
        <w:rPr>
          <w:rFonts w:hint="eastAsia"/>
        </w:rPr>
        <w:t>技术标准和要求</w:t>
      </w:r>
      <w:bookmarkEnd w:id="0"/>
    </w:p>
    <w:p>
      <w:pPr>
        <w:pStyle w:val="4"/>
        <w:rPr>
          <w:szCs w:val="32"/>
        </w:rPr>
      </w:pPr>
      <w:bookmarkStart w:id="1" w:name="_Toc17588"/>
      <w:r>
        <w:rPr>
          <w:rFonts w:hint="eastAsia"/>
          <w:sz w:val="28"/>
          <w:szCs w:val="28"/>
        </w:rPr>
        <w:t>一、项目概况</w:t>
      </w:r>
      <w:bookmarkEnd w:id="1"/>
    </w:p>
    <w:p>
      <w:pPr>
        <w:spacing w:line="360" w:lineRule="auto"/>
        <w:ind w:firstLine="360" w:firstLineChars="150"/>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1.</w:t>
      </w:r>
      <w:r>
        <w:rPr>
          <w:rFonts w:hint="eastAsia" w:ascii="宋体" w:hAnsi="宋体"/>
          <w:kern w:val="0"/>
          <w:sz w:val="24"/>
          <w:highlight w:val="none"/>
        </w:rPr>
        <w:t>1</w:t>
      </w:r>
      <w:r>
        <w:rPr>
          <w:rFonts w:hint="eastAsia" w:ascii="宋体" w:hAnsi="宋体"/>
          <w:kern w:val="0"/>
          <w:sz w:val="24"/>
          <w:highlight w:val="none"/>
          <w:lang w:val="en-US" w:eastAsia="zh-CN"/>
        </w:rPr>
        <w:t xml:space="preserve"> </w:t>
      </w:r>
      <w:r>
        <w:rPr>
          <w:rFonts w:hint="eastAsia" w:ascii="宋体" w:hAnsi="宋体"/>
          <w:kern w:val="0"/>
          <w:sz w:val="24"/>
          <w:highlight w:val="none"/>
        </w:rPr>
        <w:t>概况：</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kern w:val="0"/>
          <w:sz w:val="24"/>
          <w:highlight w:val="none"/>
          <w:lang w:val="en-US" w:eastAsia="zh-CN"/>
        </w:rPr>
        <w:t>吉利百矿集团电力业务部燃料采制化自动化设备建设项目</w:t>
      </w:r>
      <w:r>
        <w:rPr>
          <w:rFonts w:hint="eastAsia"/>
          <w:kern w:val="0"/>
          <w:sz w:val="24"/>
          <w:highlight w:val="none"/>
          <w:lang w:val="en-US" w:eastAsia="zh-CN"/>
        </w:rPr>
        <w:t>，</w:t>
      </w:r>
      <w:r>
        <w:rPr>
          <w:rFonts w:hint="eastAsia" w:ascii="宋体" w:hAnsi="宋体"/>
          <w:kern w:val="0"/>
          <w:sz w:val="24"/>
          <w:highlight w:val="none"/>
          <w:lang w:val="en-US" w:eastAsia="zh-CN"/>
        </w:rPr>
        <w:t>电力业务部下属百矿电厂、银海电厂、德保电厂、田东电厂，项目</w:t>
      </w:r>
      <w:r>
        <w:rPr>
          <w:rFonts w:hint="eastAsia" w:ascii="宋体" w:hAnsi="宋体"/>
          <w:kern w:val="0"/>
          <w:sz w:val="24"/>
          <w:highlight w:val="none"/>
        </w:rPr>
        <w:t>建设地点位</w:t>
      </w:r>
      <w:r>
        <w:rPr>
          <w:rFonts w:ascii="宋体" w:hAnsi="宋体"/>
          <w:kern w:val="0"/>
          <w:sz w:val="24"/>
          <w:highlight w:val="none"/>
        </w:rPr>
        <w:t>于</w:t>
      </w:r>
      <w:bookmarkStart w:id="2" w:name="OLE_LINK1"/>
      <w:r>
        <w:rPr>
          <w:rFonts w:hint="eastAsia"/>
          <w:kern w:val="0"/>
          <w:sz w:val="24"/>
          <w:highlight w:val="none"/>
          <w:lang w:val="en-US" w:eastAsia="zh-CN"/>
        </w:rPr>
        <w:t>百色市德保县德保电厂内、百色市田东县田东电厂内、百色市田阳区百矿电厂、银海电厂内</w:t>
      </w:r>
      <w:r>
        <w:rPr>
          <w:rFonts w:hint="eastAsia" w:ascii="宋体" w:hAnsi="宋体"/>
          <w:kern w:val="0"/>
          <w:sz w:val="24"/>
          <w:highlight w:val="none"/>
          <w:lang w:eastAsia="zh-CN"/>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主要建设内容包括：</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德保电厂、</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百矿</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电厂各建设</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1栋</w:t>
      </w:r>
      <w:r>
        <w:rPr>
          <w:rFonts w:hint="eastAsia" w:asciiTheme="minorEastAsia" w:hAnsiTheme="minorEastAsia" w:eastAsiaTheme="minorEastAsia"/>
          <w:color w:val="000000" w:themeColor="text1"/>
          <w:kern w:val="0"/>
          <w:sz w:val="24"/>
          <w:highlight w:val="none"/>
          <w14:textFill>
            <w14:solidFill>
              <w14:schemeClr w14:val="tx1"/>
            </w14:solidFill>
          </w14:textFill>
        </w:rPr>
        <w:t>化验综合楼</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3层</w:t>
      </w:r>
      <w:bookmarkStart w:id="3" w:name="_Toc2047"/>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汽车采样机钢结构、</w:t>
      </w:r>
      <w:r>
        <w:rPr>
          <w:rFonts w:hint="eastAsia" w:asciiTheme="minorEastAsia" w:hAnsiTheme="minorEastAsia" w:eastAsiaTheme="minorEastAsia"/>
          <w:color w:val="000000" w:themeColor="text1"/>
          <w:kern w:val="0"/>
          <w:sz w:val="24"/>
          <w:highlight w:val="none"/>
          <w14:textFill>
            <w14:solidFill>
              <w14:schemeClr w14:val="tx1"/>
            </w14:solidFill>
          </w14:textFill>
        </w:rPr>
        <w:t>汽车采样机破碎缩分室、</w:t>
      </w:r>
      <w:bookmarkEnd w:id="3"/>
      <w:r>
        <w:rPr>
          <w:rFonts w:hint="eastAsia" w:asciiTheme="minorEastAsia" w:hAnsiTheme="minorEastAsia" w:eastAsiaTheme="minorEastAsia"/>
          <w:color w:val="000000" w:themeColor="text1"/>
          <w:kern w:val="0"/>
          <w:sz w:val="24"/>
          <w:highlight w:val="none"/>
          <w14:textFill>
            <w14:solidFill>
              <w14:schemeClr w14:val="tx1"/>
            </w14:solidFill>
          </w14:textFill>
        </w:rPr>
        <w:t>皮带中部采样间</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包括银海电厂、田东电厂</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）等相关配套</w:t>
      </w:r>
      <w:r>
        <w:rPr>
          <w:rFonts w:hint="eastAsia" w:asciiTheme="minorEastAsia" w:hAnsiTheme="minorEastAsia" w:eastAsiaTheme="minorEastAsia"/>
          <w:color w:val="000000" w:themeColor="text1"/>
          <w:kern w:val="0"/>
          <w:sz w:val="24"/>
          <w:highlight w:val="none"/>
          <w14:textFill>
            <w14:solidFill>
              <w14:schemeClr w14:val="tx1"/>
            </w14:solidFill>
          </w14:textFill>
        </w:rPr>
        <w:t>设施。</w:t>
      </w:r>
    </w:p>
    <w:bookmarkEnd w:id="2"/>
    <w:p>
      <w:pPr>
        <w:spacing w:line="360" w:lineRule="auto"/>
        <w:ind w:firstLine="360" w:firstLineChars="150"/>
        <w:rPr>
          <w:rFonts w:ascii="宋体" w:hAnsi="宋体"/>
          <w:kern w:val="0"/>
          <w:sz w:val="24"/>
          <w:highlight w:val="none"/>
        </w:rPr>
      </w:pPr>
      <w:r>
        <w:rPr>
          <w:rFonts w:hint="eastAsia" w:ascii="宋体" w:hAnsi="宋体"/>
          <w:kern w:val="0"/>
          <w:sz w:val="24"/>
          <w:highlight w:val="none"/>
          <w:lang w:val="en-US" w:eastAsia="zh-CN"/>
        </w:rPr>
        <w:t>1.</w:t>
      </w:r>
      <w:r>
        <w:rPr>
          <w:rFonts w:ascii="宋体" w:hAnsi="宋体"/>
          <w:kern w:val="0"/>
          <w:sz w:val="24"/>
          <w:highlight w:val="none"/>
        </w:rPr>
        <w:t>2</w:t>
      </w:r>
      <w:r>
        <w:rPr>
          <w:rFonts w:hint="eastAsia" w:ascii="宋体" w:hAnsi="宋体"/>
          <w:kern w:val="0"/>
          <w:sz w:val="24"/>
          <w:highlight w:val="none"/>
          <w:lang w:val="en-US" w:eastAsia="zh-CN"/>
        </w:rPr>
        <w:t xml:space="preserve"> 、</w:t>
      </w:r>
      <w:r>
        <w:rPr>
          <w:rFonts w:ascii="宋体" w:hAnsi="宋体"/>
          <w:kern w:val="0"/>
          <w:sz w:val="24"/>
          <w:highlight w:val="none"/>
        </w:rPr>
        <w:t>勘探范围：</w:t>
      </w:r>
    </w:p>
    <w:p>
      <w:pPr>
        <w:spacing w:line="360" w:lineRule="auto"/>
        <w:ind w:firstLine="360" w:firstLineChars="150"/>
        <w:rPr>
          <w:rFonts w:hint="default"/>
          <w:highlight w:val="none"/>
          <w:lang w:val="en-US" w:eastAsia="zh-CN"/>
        </w:rPr>
      </w:pPr>
      <w:r>
        <w:rPr>
          <w:rFonts w:ascii="宋体" w:hAnsi="宋体"/>
          <w:kern w:val="0"/>
          <w:sz w:val="24"/>
          <w:highlight w:val="none"/>
        </w:rPr>
        <w:t>本工程</w:t>
      </w:r>
      <w:r>
        <w:rPr>
          <w:rFonts w:hint="eastAsia" w:ascii="宋体" w:hAnsi="宋体"/>
          <w:kern w:val="0"/>
          <w:sz w:val="24"/>
          <w:highlight w:val="none"/>
          <w:lang w:eastAsia="zh-CN"/>
        </w:rPr>
        <w:t>为德保电厂、</w:t>
      </w:r>
      <w:r>
        <w:rPr>
          <w:rFonts w:hint="eastAsia" w:ascii="宋体" w:hAnsi="宋体"/>
          <w:kern w:val="0"/>
          <w:sz w:val="24"/>
          <w:highlight w:val="none"/>
          <w:lang w:val="en-US" w:eastAsia="zh-CN"/>
        </w:rPr>
        <w:t>百矿</w:t>
      </w:r>
      <w:r>
        <w:rPr>
          <w:rFonts w:hint="eastAsia" w:ascii="宋体" w:hAnsi="宋体"/>
          <w:kern w:val="0"/>
          <w:sz w:val="24"/>
          <w:highlight w:val="none"/>
          <w:lang w:eastAsia="zh-CN"/>
        </w:rPr>
        <w:t>电厂新建</w:t>
      </w:r>
      <w:r>
        <w:rPr>
          <w:rFonts w:hint="eastAsia" w:asciiTheme="minorEastAsia" w:hAnsiTheme="minorEastAsia" w:eastAsiaTheme="minorEastAsia"/>
          <w:color w:val="000000" w:themeColor="text1"/>
          <w:kern w:val="0"/>
          <w:sz w:val="24"/>
          <w:highlight w:val="none"/>
          <w14:textFill>
            <w14:solidFill>
              <w14:schemeClr w14:val="tx1"/>
            </w14:solidFill>
          </w14:textFill>
        </w:rPr>
        <w:t>化验综合楼</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3层）、</w:t>
      </w:r>
      <w:r>
        <w:rPr>
          <w:rFonts w:hint="eastAsia" w:ascii="宋体" w:hAnsi="宋体"/>
          <w:kern w:val="0"/>
          <w:sz w:val="24"/>
          <w:highlight w:val="none"/>
          <w:lang w:val="en-US" w:eastAsia="zh-CN"/>
        </w:rPr>
        <w:t>配套用房</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等建筑物，各厂区</w:t>
      </w:r>
      <w:r>
        <w:rPr>
          <w:rFonts w:hint="eastAsia" w:ascii="宋体" w:hAnsi="宋体"/>
          <w:kern w:val="0"/>
          <w:sz w:val="24"/>
          <w:highlight w:val="none"/>
          <w:lang w:eastAsia="zh-CN"/>
        </w:rPr>
        <w:t>建筑面积约为</w:t>
      </w:r>
      <w:r>
        <w:rPr>
          <w:rFonts w:hint="eastAsia" w:asciiTheme="minorEastAsia" w:hAnsiTheme="minorEastAsia" w:eastAsiaTheme="minorEastAsia"/>
          <w:color w:val="000000" w:themeColor="text1"/>
          <w:kern w:val="0"/>
          <w:sz w:val="24"/>
          <w:highlight w:val="none"/>
          <w14:textFill>
            <w14:solidFill>
              <w14:schemeClr w14:val="tx1"/>
            </w14:solidFill>
          </w14:textFill>
        </w:rPr>
        <w:t>1377</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宋体" w:hAnsi="宋体"/>
          <w:kern w:val="0"/>
          <w:sz w:val="24"/>
          <w:highlight w:val="none"/>
          <w:lang w:eastAsia="zh-CN"/>
        </w:rPr>
        <w:t>。</w:t>
      </w:r>
    </w:p>
    <w:p>
      <w:pPr>
        <w:spacing w:line="360" w:lineRule="auto"/>
        <w:ind w:firstLine="360" w:firstLineChars="150"/>
        <w:rPr>
          <w:rFonts w:hint="eastAsia" w:ascii="宋体" w:hAnsi="宋体"/>
          <w:kern w:val="0"/>
          <w:sz w:val="24"/>
          <w:highlight w:val="none"/>
          <w:lang w:val="en-US" w:eastAsia="zh-CN"/>
        </w:rPr>
      </w:pPr>
      <w:r>
        <w:rPr>
          <w:rFonts w:ascii="宋体" w:hAnsi="宋体"/>
          <w:kern w:val="0"/>
          <w:sz w:val="24"/>
          <w:highlight w:val="none"/>
        </w:rPr>
        <w:t>本工程勘探点</w:t>
      </w:r>
      <w:r>
        <w:rPr>
          <w:rFonts w:hint="eastAsia" w:ascii="宋体" w:hAnsi="宋体"/>
          <w:kern w:val="0"/>
          <w:sz w:val="24"/>
          <w:highlight w:val="none"/>
          <w:lang w:eastAsia="zh-CN"/>
        </w:rPr>
        <w:t>暂按德保电厂</w:t>
      </w:r>
      <w:r>
        <w:rPr>
          <w:rFonts w:hint="eastAsia" w:ascii="宋体" w:hAnsi="宋体"/>
          <w:kern w:val="0"/>
          <w:sz w:val="24"/>
          <w:highlight w:val="none"/>
          <w:lang w:val="en-US" w:eastAsia="zh-CN"/>
        </w:rPr>
        <w:t>6个点</w:t>
      </w:r>
      <w:r>
        <w:rPr>
          <w:rFonts w:hint="eastAsia" w:ascii="宋体" w:hAnsi="宋体"/>
          <w:kern w:val="0"/>
          <w:sz w:val="24"/>
          <w:highlight w:val="none"/>
          <w:lang w:eastAsia="zh-CN"/>
        </w:rPr>
        <w:t>、</w:t>
      </w:r>
      <w:r>
        <w:rPr>
          <w:rFonts w:hint="eastAsia" w:ascii="宋体" w:hAnsi="宋体"/>
          <w:kern w:val="0"/>
          <w:sz w:val="24"/>
          <w:highlight w:val="none"/>
          <w:lang w:val="en-US" w:eastAsia="zh-CN"/>
        </w:rPr>
        <w:t>百矿</w:t>
      </w:r>
      <w:r>
        <w:rPr>
          <w:rFonts w:hint="eastAsia" w:ascii="宋体" w:hAnsi="宋体"/>
          <w:kern w:val="0"/>
          <w:sz w:val="24"/>
          <w:highlight w:val="none"/>
          <w:lang w:eastAsia="zh-CN"/>
        </w:rPr>
        <w:t>电厂</w:t>
      </w:r>
      <w:r>
        <w:rPr>
          <w:rFonts w:hint="eastAsia" w:ascii="宋体" w:hAnsi="宋体"/>
          <w:kern w:val="0"/>
          <w:sz w:val="24"/>
          <w:highlight w:val="none"/>
          <w:lang w:val="en-US" w:eastAsia="zh-CN"/>
        </w:rPr>
        <w:t>6个点共12个，平均孔深15米，总进尺米数约180米（最终以实际工程量为准）。</w:t>
      </w:r>
    </w:p>
    <w:p>
      <w:pPr>
        <w:spacing w:line="360" w:lineRule="auto"/>
        <w:ind w:firstLine="360" w:firstLineChars="150"/>
        <w:rPr>
          <w:rFonts w:hint="eastAsia"/>
          <w:lang w:val="en-US" w:eastAsia="zh-CN"/>
        </w:rPr>
      </w:pPr>
      <w:r>
        <w:rPr>
          <w:rFonts w:ascii="宋体" w:hAnsi="宋体"/>
          <w:kern w:val="0"/>
          <w:sz w:val="24"/>
          <w:highlight w:val="none"/>
        </w:rPr>
        <w:t>本次地质勘察项目招标内容为上述区域内所有建、构筑物的岩土工程勘察工作（详勘）。</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360"/>
        <w:rPr>
          <w:rFonts w:ascii="宋体" w:hAnsi="宋体"/>
          <w:kern w:val="0"/>
          <w:sz w:val="24"/>
          <w:highlight w:val="none"/>
        </w:rPr>
      </w:pPr>
      <w:r>
        <w:rPr>
          <w:rFonts w:ascii="宋体" w:hAnsi="宋体"/>
          <w:kern w:val="0"/>
          <w:sz w:val="24"/>
          <w:highlight w:val="none"/>
        </w:rPr>
        <w:t>本工程勘探点数量按照设计院审核</w:t>
      </w:r>
      <w:r>
        <w:rPr>
          <w:rFonts w:hint="eastAsia" w:ascii="宋体" w:hAnsi="宋体"/>
          <w:kern w:val="0"/>
          <w:sz w:val="24"/>
          <w:highlight w:val="none"/>
        </w:rPr>
        <w:t>通过的详勘布孔图及现场实际情况确定；</w:t>
      </w:r>
      <w:r>
        <w:rPr>
          <w:rFonts w:ascii="宋体" w:hAnsi="宋体"/>
          <w:kern w:val="0"/>
          <w:sz w:val="24"/>
          <w:highlight w:val="none"/>
        </w:rPr>
        <w:t>控制性孔的深度应能探清桩尖持力层的厚度或天然地基持力层的厚度及密实下卧层的土层性质；甲方有权以书面通知方式调整实际工程勘探范围和工程量。</w:t>
      </w:r>
    </w:p>
    <w:p>
      <w:pPr>
        <w:spacing w:line="360" w:lineRule="auto"/>
        <w:ind w:firstLine="360" w:firstLineChars="150"/>
        <w:rPr>
          <w:rFonts w:ascii="宋体" w:hAnsi="宋体"/>
          <w:kern w:val="0"/>
          <w:sz w:val="24"/>
        </w:rPr>
      </w:pPr>
      <w:r>
        <w:rPr>
          <w:rFonts w:hint="eastAsia" w:ascii="宋体" w:hAnsi="宋体"/>
          <w:kern w:val="0"/>
          <w:sz w:val="24"/>
          <w:lang w:val="en-US" w:eastAsia="zh-CN"/>
        </w:rPr>
        <w:t>1.3、</w:t>
      </w:r>
      <w:r>
        <w:rPr>
          <w:rFonts w:ascii="宋体" w:hAnsi="宋体"/>
          <w:kern w:val="0"/>
          <w:sz w:val="24"/>
        </w:rPr>
        <w:t>本工程的勘察工期定于开工之日起</w:t>
      </w:r>
      <w:r>
        <w:rPr>
          <w:rFonts w:hint="eastAsia" w:ascii="宋体" w:hAnsi="宋体"/>
          <w:kern w:val="0"/>
          <w:sz w:val="24"/>
          <w:lang w:val="en-US" w:eastAsia="zh-CN"/>
        </w:rPr>
        <w:t>15</w:t>
      </w:r>
      <w:r>
        <w:rPr>
          <w:rFonts w:ascii="宋体" w:hAnsi="宋体"/>
          <w:kern w:val="0"/>
          <w:sz w:val="24"/>
        </w:rPr>
        <w:t>天（日历天）内提交勘察成果报告资料；具体开工日期以甲方通知为准。</w:t>
      </w:r>
    </w:p>
    <w:p>
      <w:pPr>
        <w:spacing w:line="360" w:lineRule="auto"/>
        <w:ind w:firstLine="360" w:firstLineChars="150"/>
        <w:rPr>
          <w:rFonts w:ascii="宋体" w:hAnsi="宋体"/>
          <w:kern w:val="0"/>
          <w:sz w:val="24"/>
        </w:rPr>
      </w:pPr>
      <w:r>
        <w:rPr>
          <w:rFonts w:ascii="宋体" w:hAnsi="宋体"/>
          <w:kern w:val="0"/>
          <w:sz w:val="24"/>
        </w:rPr>
        <w:t>勘察工程开工后，乙方要</w:t>
      </w:r>
      <w:r>
        <w:rPr>
          <w:rFonts w:hint="eastAsia" w:ascii="宋体" w:hAnsi="宋体"/>
          <w:kern w:val="0"/>
          <w:sz w:val="24"/>
        </w:rPr>
        <w:t>在每5天</w:t>
      </w:r>
      <w:r>
        <w:rPr>
          <w:rFonts w:ascii="宋体" w:hAnsi="宋体"/>
          <w:kern w:val="0"/>
          <w:sz w:val="24"/>
        </w:rPr>
        <w:t>（日历天）内向甲方提交中间性成果文件（柱状图、地基承载力特征值建议值）。</w:t>
      </w:r>
    </w:p>
    <w:p>
      <w:pPr>
        <w:spacing w:line="360" w:lineRule="auto"/>
        <w:ind w:firstLine="360" w:firstLineChars="150"/>
        <w:rPr>
          <w:rFonts w:ascii="宋体" w:hAnsi="宋体"/>
          <w:kern w:val="0"/>
          <w:sz w:val="24"/>
          <w:highlight w:val="none"/>
        </w:rPr>
      </w:pPr>
      <w:r>
        <w:rPr>
          <w:rFonts w:hint="eastAsia" w:ascii="宋体" w:hAnsi="宋体"/>
          <w:kern w:val="0"/>
          <w:sz w:val="24"/>
          <w:highlight w:val="none"/>
          <w:lang w:val="en-US" w:eastAsia="zh-CN"/>
        </w:rPr>
        <w:t>1.4</w:t>
      </w:r>
      <w:r>
        <w:rPr>
          <w:rFonts w:ascii="宋体" w:hAnsi="宋体"/>
          <w:kern w:val="0"/>
          <w:sz w:val="24"/>
          <w:highlight w:val="none"/>
        </w:rPr>
        <w:t>、地质勘察等级遵照</w:t>
      </w:r>
      <w:r>
        <w:rPr>
          <w:rFonts w:hint="eastAsia" w:ascii="宋体" w:hAnsi="宋体"/>
          <w:kern w:val="0"/>
          <w:sz w:val="24"/>
          <w:highlight w:val="none"/>
        </w:rPr>
        <w:t>国标</w:t>
      </w:r>
      <w:r>
        <w:rPr>
          <w:rFonts w:ascii="宋体" w:hAnsi="宋体"/>
          <w:kern w:val="0"/>
          <w:sz w:val="24"/>
          <w:highlight w:val="none"/>
        </w:rPr>
        <w:t>《</w:t>
      </w:r>
      <w:bookmarkStart w:id="4" w:name="OLE_LINK3"/>
      <w:r>
        <w:rPr>
          <w:rFonts w:ascii="宋体" w:hAnsi="宋体"/>
          <w:kern w:val="0"/>
          <w:sz w:val="24"/>
          <w:highlight w:val="none"/>
        </w:rPr>
        <w:t>岩土工程勘察规范</w:t>
      </w:r>
      <w:bookmarkEnd w:id="4"/>
      <w:r>
        <w:rPr>
          <w:rFonts w:ascii="宋体" w:hAnsi="宋体"/>
          <w:kern w:val="0"/>
          <w:sz w:val="24"/>
          <w:highlight w:val="none"/>
        </w:rPr>
        <w:t>》</w:t>
      </w:r>
      <w:r>
        <w:rPr>
          <w:rFonts w:hint="eastAsia" w:ascii="宋体" w:hAnsi="宋体"/>
          <w:kern w:val="0"/>
          <w:sz w:val="24"/>
          <w:highlight w:val="none"/>
        </w:rPr>
        <w:t>（GB 50021-2001 2009年版）或最新版</w:t>
      </w:r>
      <w:r>
        <w:rPr>
          <w:rFonts w:ascii="宋体" w:hAnsi="宋体"/>
          <w:kern w:val="0"/>
          <w:sz w:val="24"/>
          <w:highlight w:val="none"/>
        </w:rPr>
        <w:t>的相关规定进行勘察。</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1.5、地质勘察数据上传必须严格遵守《广西工程勘察质量监管信息系统数据采集及异常处理规格》要求。</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1.6、地质勘察报告必须满足设计院出具详勘技术任务书要求。</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1.7、勘察单位必须是广西壮族自治区住建厅备案的企业。</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1.8、工程勘察单位资质要求：岩土工程勘察乙级以上资质。</w:t>
      </w:r>
    </w:p>
    <w:p>
      <w:pPr>
        <w:pStyle w:val="2"/>
        <w:rPr>
          <w:highlight w:val="none"/>
        </w:rPr>
      </w:pPr>
    </w:p>
    <w:p>
      <w:pPr>
        <w:pStyle w:val="4"/>
        <w:numPr>
          <w:ilvl w:val="0"/>
          <w:numId w:val="1"/>
        </w:numPr>
        <w:rPr>
          <w:sz w:val="28"/>
          <w:szCs w:val="28"/>
          <w:highlight w:val="none"/>
        </w:rPr>
      </w:pPr>
      <w:bookmarkStart w:id="5" w:name="_Toc13823"/>
      <w:r>
        <w:rPr>
          <w:rFonts w:hint="eastAsia"/>
          <w:sz w:val="28"/>
          <w:szCs w:val="28"/>
          <w:highlight w:val="none"/>
        </w:rPr>
        <w:t>勘察任务要求</w:t>
      </w:r>
      <w:bookmarkEnd w:id="5"/>
    </w:p>
    <w:p>
      <w:pPr>
        <w:spacing w:beforeLines="30" w:afterLines="30" w:line="360" w:lineRule="auto"/>
        <w:ind w:firstLine="480" w:firstLineChars="200"/>
        <w:rPr>
          <w:sz w:val="24"/>
          <w:highlight w:val="none"/>
        </w:rPr>
      </w:pPr>
      <w:r>
        <w:rPr>
          <w:rFonts w:hint="eastAsia"/>
          <w:sz w:val="24"/>
          <w:highlight w:val="none"/>
        </w:rPr>
        <w:t>按照现行《岩土工程勘察规范》（GB 50021-2001 2009年版）进行详勘及提供地质报告。</w:t>
      </w:r>
    </w:p>
    <w:p>
      <w:pPr>
        <w:spacing w:beforeLines="30" w:afterLines="30" w:line="360" w:lineRule="auto"/>
        <w:rPr>
          <w:sz w:val="24"/>
          <w:highlight w:val="none"/>
        </w:rPr>
      </w:pPr>
      <w:r>
        <w:rPr>
          <w:sz w:val="24"/>
          <w:highlight w:val="none"/>
        </w:rPr>
        <w:t>查明并评价工程地质情况，为地基基础（含基坑支护）设计与施工、地基处理与加固、不良地质现象的防治工程等提供工程地质资料；至少应包括以下内容：</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1 勘察目的、任务要求和依据的技术标准；</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2 拟建工程概况；</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3 勘察方法和勘察工作布置；</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 xml:space="preserve">4 </w:t>
      </w:r>
      <w:r>
        <w:rPr>
          <w:rFonts w:hint="eastAsia"/>
          <w:sz w:val="24"/>
          <w:highlight w:val="none"/>
        </w:rPr>
        <w:t>查明建筑物范围内各土层的类型、深度、分布</w:t>
      </w:r>
      <w:r>
        <w:rPr>
          <w:sz w:val="24"/>
          <w:highlight w:val="none"/>
        </w:rPr>
        <w:t>，以及各岩土层的物理力学性质和工程特性做出评价。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5 各项岩土性质指标，岩土的强度参数、变形参数、地基承载力的建议值，请确定各相关土层用于承载力计算的深度修正系数ηd和宽度修正系数ηb。</w:t>
      </w:r>
      <w:r>
        <w:rPr>
          <w:rFonts w:hint="eastAsia"/>
          <w:sz w:val="24"/>
          <w:highlight w:val="none"/>
        </w:rPr>
        <w:t>分析和评价地基的稳定性、均匀性和承载力特征值，提供基础方案建议。</w:t>
      </w:r>
      <w:r>
        <w:rPr>
          <w:sz w:val="24"/>
          <w:highlight w:val="none"/>
        </w:rPr>
        <w:t>对可供采用的地基基础设计方案进行论证分析，建议适当的基础形式和基础持力层，并提出经济合理的地基和基础设计方案和建议；若采用桩基，提供可选的桩基类型和桩端持力层，</w:t>
      </w:r>
      <w:r>
        <w:rPr>
          <w:rFonts w:hint="eastAsia"/>
          <w:sz w:val="24"/>
          <w:highlight w:val="none"/>
        </w:rPr>
        <w:t>提出桩的摩阻力和端阻力特征值，预估单桩竖向承载力特征值，</w:t>
      </w:r>
      <w:r>
        <w:rPr>
          <w:sz w:val="24"/>
          <w:highlight w:val="none"/>
        </w:rPr>
        <w:t>提出桩长、桩径方案的建议。</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6 提供抗震设防烈度、分组及有关技术参数，场地土类型和场地类别，</w:t>
      </w:r>
      <w:r>
        <w:rPr>
          <w:rFonts w:hint="eastAsia"/>
          <w:sz w:val="24"/>
          <w:highlight w:val="none"/>
        </w:rPr>
        <w:t>判定有无液化土层及其液化指数和液化等级。</w:t>
      </w:r>
      <w:r>
        <w:rPr>
          <w:sz w:val="24"/>
          <w:highlight w:val="none"/>
        </w:rPr>
        <w:t>对场地和地基的地震效应、场地地震安全性做出初步评价。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7拟采用桩基方案时成桩的可能性分析，施工对周围环境影响分析和评价。深基坑开挖的边坡稳定计算、支护设计及施工降水所需的岩土技术参数，论证其对周围已有建筑物和地下设施的影响。</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8</w:t>
      </w:r>
      <w:r>
        <w:rPr>
          <w:rFonts w:hint="eastAsia"/>
          <w:sz w:val="24"/>
          <w:highlight w:val="none"/>
        </w:rPr>
        <w:t>查明</w:t>
      </w:r>
      <w:r>
        <w:rPr>
          <w:sz w:val="24"/>
          <w:highlight w:val="none"/>
        </w:rPr>
        <w:t>地下水埋藏情况、类型和水位</w:t>
      </w:r>
      <w:r>
        <w:rPr>
          <w:rFonts w:hint="eastAsia"/>
          <w:sz w:val="24"/>
          <w:highlight w:val="none"/>
        </w:rPr>
        <w:t>变化</w:t>
      </w:r>
      <w:r>
        <w:rPr>
          <w:sz w:val="24"/>
          <w:highlight w:val="none"/>
        </w:rPr>
        <w:t>幅度和规律，</w:t>
      </w:r>
      <w:r>
        <w:rPr>
          <w:rFonts w:hint="eastAsia"/>
          <w:sz w:val="24"/>
          <w:highlight w:val="none"/>
        </w:rPr>
        <w:t>测定地层的渗透系数</w:t>
      </w:r>
      <w:r>
        <w:rPr>
          <w:sz w:val="24"/>
          <w:highlight w:val="none"/>
        </w:rPr>
        <w:t>以及地下水和土对建筑材料的腐蚀性，设计抗渗水位及抗浮水位，</w:t>
      </w:r>
      <w:r>
        <w:rPr>
          <w:rFonts w:hint="eastAsia"/>
          <w:sz w:val="24"/>
          <w:highlight w:val="none"/>
        </w:rPr>
        <w:t>提供用于计算地下水浮力的设计水位。</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sz w:val="24"/>
          <w:highlight w:val="none"/>
        </w:rPr>
        <w:t xml:space="preserve">提出施工降水方法的建议并根据地下水的水位情况提供相关土层的加权平均重度γm。 </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9提供与设计要求相对应的地基承载力特征值及变形计算参数，预估基础沉降量，估算的期望差和总基础和桩沉降值，预测建筑物的变形特征，</w:t>
      </w:r>
      <w:r>
        <w:rPr>
          <w:rFonts w:hint="eastAsia"/>
          <w:sz w:val="24"/>
          <w:highlight w:val="none"/>
        </w:rPr>
        <w:t>提供基坑支护、工程降水和地基处理设计与施工方案。</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10可能影响工程稳定的不良地质作用的描述和对工程危害程度的评价；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rFonts w:hint="eastAsia"/>
          <w:sz w:val="24"/>
          <w:highlight w:val="none"/>
          <w:lang w:eastAsia="zh-CN"/>
        </w:rPr>
      </w:pPr>
      <w:r>
        <w:rPr>
          <w:rFonts w:hint="eastAsia"/>
          <w:sz w:val="24"/>
          <w:highlight w:val="none"/>
          <w:lang w:val="en-US" w:eastAsia="zh-CN"/>
        </w:rPr>
        <w:t>2.</w:t>
      </w:r>
      <w:r>
        <w:rPr>
          <w:sz w:val="24"/>
          <w:highlight w:val="none"/>
        </w:rPr>
        <w:t>11场地稳定性和适宜性的评价，并明确场地地段类别及建筑物场地类别</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sz w:val="24"/>
          <w:highlight w:val="none"/>
        </w:rPr>
        <w:t>12查明有无影响建筑场地稳定性的不良地质作用，场地不良地质作用的成因、</w:t>
      </w:r>
      <w:r>
        <w:rPr>
          <w:rFonts w:hint="eastAsia"/>
          <w:sz w:val="24"/>
          <w:highlight w:val="none"/>
        </w:rPr>
        <w:t>类型、</w:t>
      </w:r>
      <w:r>
        <w:rPr>
          <w:sz w:val="24"/>
          <w:highlight w:val="none"/>
        </w:rPr>
        <w:t>分布、规模、发展趋势，有无暗浜、暗塘、墓穴、</w:t>
      </w:r>
      <w:r>
        <w:rPr>
          <w:rFonts w:hint="eastAsia"/>
          <w:sz w:val="24"/>
          <w:highlight w:val="none"/>
          <w:lang w:eastAsia="zh-CN"/>
        </w:rPr>
        <w:t>孤石、</w:t>
      </w:r>
      <w:r>
        <w:rPr>
          <w:sz w:val="24"/>
          <w:highlight w:val="none"/>
        </w:rPr>
        <w:t>溶洞</w:t>
      </w:r>
      <w:r>
        <w:rPr>
          <w:rFonts w:hint="eastAsia"/>
          <w:sz w:val="24"/>
          <w:highlight w:val="none"/>
          <w:lang w:eastAsia="zh-CN"/>
        </w:rPr>
        <w:t>、破碎带</w:t>
      </w:r>
      <w:r>
        <w:rPr>
          <w:sz w:val="24"/>
          <w:highlight w:val="none"/>
        </w:rPr>
        <w:t>等</w:t>
      </w:r>
      <w:r>
        <w:rPr>
          <w:rFonts w:hint="eastAsia"/>
          <w:sz w:val="24"/>
          <w:highlight w:val="none"/>
          <w:lang w:eastAsia="zh-CN"/>
        </w:rPr>
        <w:t>对工程不利的埋藏物</w:t>
      </w:r>
      <w:r>
        <w:rPr>
          <w:sz w:val="24"/>
          <w:highlight w:val="none"/>
        </w:rPr>
        <w:t>，并对其危害程度、建筑场地稳定性做出评价，</w:t>
      </w:r>
      <w:r>
        <w:rPr>
          <w:rFonts w:hint="eastAsia"/>
          <w:sz w:val="24"/>
          <w:highlight w:val="none"/>
        </w:rPr>
        <w:t>并提供整治所需的岩土技术参数和预防整治方案建议</w:t>
      </w:r>
      <w:r>
        <w:rPr>
          <w:sz w:val="24"/>
          <w:highlight w:val="none"/>
        </w:rPr>
        <w:t>。</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rFonts w:hint="eastAsia"/>
          <w:sz w:val="24"/>
          <w:highlight w:val="none"/>
        </w:rPr>
        <w:t>13查明地基土的湿陷性，并提供湿陷性土的相关参数及地基处理措施。</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highlight w:val="none"/>
        </w:rPr>
      </w:pPr>
      <w:r>
        <w:rPr>
          <w:rFonts w:hint="eastAsia"/>
          <w:sz w:val="24"/>
          <w:highlight w:val="none"/>
          <w:lang w:val="en-US" w:eastAsia="zh-CN"/>
        </w:rPr>
        <w:t>2.</w:t>
      </w:r>
      <w:r>
        <w:rPr>
          <w:rFonts w:hint="eastAsia"/>
          <w:sz w:val="24"/>
          <w:highlight w:val="none"/>
        </w:rPr>
        <w:t>14提供地表下5m范围内土的自然含水率、自然干密度、最佳含水率和最大干密度，为总图道路提供基础资料。</w:t>
      </w:r>
    </w:p>
    <w:p>
      <w:pPr>
        <w:pStyle w:val="2"/>
        <w:rPr>
          <w:highlight w:val="none"/>
        </w:rPr>
      </w:pPr>
    </w:p>
    <w:p>
      <w:pPr>
        <w:pStyle w:val="4"/>
        <w:rPr>
          <w:sz w:val="28"/>
          <w:szCs w:val="28"/>
          <w:highlight w:val="none"/>
        </w:rPr>
      </w:pPr>
      <w:bookmarkStart w:id="6" w:name="_Toc16644"/>
      <w:r>
        <w:rPr>
          <w:rFonts w:hint="eastAsia"/>
          <w:sz w:val="28"/>
          <w:szCs w:val="28"/>
          <w:highlight w:val="none"/>
        </w:rPr>
        <w:t>三、勘察依据</w:t>
      </w:r>
      <w:bookmarkEnd w:id="6"/>
    </w:p>
    <w:p>
      <w:pPr>
        <w:spacing w:beforeLines="30" w:afterLines="30" w:line="360" w:lineRule="auto"/>
        <w:ind w:firstLine="435"/>
        <w:rPr>
          <w:sz w:val="24"/>
          <w:highlight w:val="none"/>
        </w:rPr>
      </w:pPr>
      <w:r>
        <w:rPr>
          <w:sz w:val="24"/>
          <w:highlight w:val="none"/>
        </w:rPr>
        <w:t>勘察人在设计工作中必须使用中华人民共和国《工程建设标准强制性条文》（地质勘察部分)和下述标准</w:t>
      </w:r>
      <w:r>
        <w:rPr>
          <w:rFonts w:hint="eastAsia"/>
          <w:sz w:val="24"/>
          <w:highlight w:val="none"/>
        </w:rPr>
        <w:t>和</w:t>
      </w:r>
      <w:r>
        <w:rPr>
          <w:sz w:val="24"/>
          <w:highlight w:val="none"/>
        </w:rPr>
        <w:t>规范（如果国家或有关部门颁布了新的技术标准或规范，则采用新颁布的技术标准或规范）</w:t>
      </w:r>
      <w:r>
        <w:rPr>
          <w:rFonts w:hint="eastAsia"/>
          <w:sz w:val="24"/>
          <w:highlight w:val="none"/>
        </w:rPr>
        <w:t>，</w:t>
      </w:r>
      <w:r>
        <w:rPr>
          <w:sz w:val="24"/>
          <w:highlight w:val="none"/>
        </w:rPr>
        <w:t>包括但不限于：</w:t>
      </w:r>
    </w:p>
    <w:p>
      <w:pPr>
        <w:spacing w:beforeLines="30" w:afterLines="30" w:line="360" w:lineRule="auto"/>
        <w:ind w:firstLine="435"/>
        <w:rPr>
          <w:sz w:val="24"/>
          <w:highlight w:val="none"/>
        </w:rPr>
      </w:pPr>
      <w:r>
        <w:rPr>
          <w:sz w:val="24"/>
          <w:highlight w:val="none"/>
        </w:rPr>
        <w:t>3.1 《岩土工程勘察规范》</w:t>
      </w:r>
      <w:r>
        <w:rPr>
          <w:rFonts w:hint="eastAsia"/>
          <w:sz w:val="24"/>
          <w:highlight w:val="none"/>
        </w:rPr>
        <w:t>（GB 50021-2001 2009年版）</w:t>
      </w:r>
    </w:p>
    <w:p>
      <w:pPr>
        <w:spacing w:beforeLines="30" w:afterLines="30" w:line="360" w:lineRule="auto"/>
        <w:ind w:firstLine="435"/>
        <w:rPr>
          <w:sz w:val="24"/>
          <w:highlight w:val="none"/>
        </w:rPr>
      </w:pPr>
      <w:r>
        <w:rPr>
          <w:sz w:val="24"/>
          <w:highlight w:val="none"/>
        </w:rPr>
        <w:t>3.2 《广西壮族自治区岩土工程勘察规范》 DBJ/T45-066-2018</w:t>
      </w:r>
    </w:p>
    <w:p>
      <w:pPr>
        <w:spacing w:beforeLines="30" w:afterLines="30" w:line="360" w:lineRule="auto"/>
        <w:ind w:firstLine="435"/>
        <w:rPr>
          <w:sz w:val="24"/>
          <w:highlight w:val="none"/>
        </w:rPr>
      </w:pPr>
      <w:r>
        <w:rPr>
          <w:sz w:val="24"/>
          <w:highlight w:val="none"/>
        </w:rPr>
        <w:t>3.3 《高层建筑岩土工程勘察标准》（JGJ/T72-2017）</w:t>
      </w:r>
    </w:p>
    <w:p>
      <w:pPr>
        <w:spacing w:beforeLines="30" w:afterLines="30" w:line="360" w:lineRule="auto"/>
        <w:ind w:firstLine="435"/>
        <w:rPr>
          <w:sz w:val="24"/>
          <w:highlight w:val="none"/>
        </w:rPr>
      </w:pPr>
      <w:r>
        <w:rPr>
          <w:sz w:val="24"/>
          <w:highlight w:val="none"/>
        </w:rPr>
        <w:t>3.4 《建筑地基基础设计规范》(GB50007—2011)</w:t>
      </w:r>
    </w:p>
    <w:p>
      <w:pPr>
        <w:spacing w:beforeLines="30" w:afterLines="30" w:line="360" w:lineRule="auto"/>
        <w:ind w:firstLine="435"/>
        <w:rPr>
          <w:sz w:val="24"/>
          <w:highlight w:val="none"/>
        </w:rPr>
      </w:pPr>
      <w:r>
        <w:rPr>
          <w:sz w:val="24"/>
          <w:highlight w:val="none"/>
        </w:rPr>
        <w:t xml:space="preserve">3.5 《建筑抗震设计规范（2016年版）》(GB50011—2010) </w:t>
      </w:r>
    </w:p>
    <w:p>
      <w:pPr>
        <w:spacing w:beforeLines="30" w:afterLines="30" w:line="360" w:lineRule="auto"/>
        <w:ind w:firstLine="435"/>
        <w:rPr>
          <w:sz w:val="24"/>
          <w:highlight w:val="none"/>
        </w:rPr>
      </w:pPr>
      <w:r>
        <w:rPr>
          <w:sz w:val="24"/>
          <w:highlight w:val="none"/>
        </w:rPr>
        <w:t xml:space="preserve">3.6 《建筑工程抗震设防分类标准》(GB50223—2008) </w:t>
      </w:r>
    </w:p>
    <w:p>
      <w:pPr>
        <w:spacing w:beforeLines="30" w:afterLines="30" w:line="360" w:lineRule="auto"/>
        <w:ind w:firstLine="435"/>
        <w:rPr>
          <w:sz w:val="24"/>
          <w:highlight w:val="none"/>
        </w:rPr>
      </w:pPr>
      <w:r>
        <w:rPr>
          <w:sz w:val="24"/>
          <w:highlight w:val="none"/>
        </w:rPr>
        <w:t>3.7 《建筑桩基技术规范》(JGJ 94—2018)</w:t>
      </w:r>
    </w:p>
    <w:p>
      <w:pPr>
        <w:spacing w:beforeLines="30" w:afterLines="30" w:line="360" w:lineRule="auto"/>
        <w:ind w:firstLine="435"/>
        <w:rPr>
          <w:sz w:val="24"/>
          <w:highlight w:val="none"/>
        </w:rPr>
      </w:pPr>
      <w:r>
        <w:rPr>
          <w:sz w:val="24"/>
          <w:highlight w:val="none"/>
        </w:rPr>
        <w:t>3.8 《广西挖孔桩勘察、设计、施工及验收暂行规定》DB 45/T36-2002</w:t>
      </w:r>
    </w:p>
    <w:p>
      <w:pPr>
        <w:spacing w:beforeLines="30" w:afterLines="30" w:line="360" w:lineRule="auto"/>
        <w:ind w:firstLine="435"/>
        <w:rPr>
          <w:sz w:val="24"/>
          <w:highlight w:val="none"/>
        </w:rPr>
      </w:pPr>
      <w:r>
        <w:rPr>
          <w:sz w:val="24"/>
          <w:highlight w:val="none"/>
        </w:rPr>
        <w:t>3.9 《建筑地基处理技术规范》(JGJ 79-2012)</w:t>
      </w:r>
    </w:p>
    <w:p>
      <w:pPr>
        <w:spacing w:beforeLines="30" w:afterLines="30" w:line="360" w:lineRule="auto"/>
        <w:ind w:firstLine="435"/>
        <w:rPr>
          <w:sz w:val="24"/>
          <w:highlight w:val="none"/>
        </w:rPr>
      </w:pPr>
      <w:r>
        <w:rPr>
          <w:sz w:val="24"/>
          <w:highlight w:val="none"/>
        </w:rPr>
        <w:t>3.10《膨胀土地区建筑技术规范》GB50112-2013</w:t>
      </w:r>
    </w:p>
    <w:p>
      <w:pPr>
        <w:spacing w:beforeLines="30" w:afterLines="30" w:line="360" w:lineRule="auto"/>
        <w:ind w:firstLine="435"/>
        <w:rPr>
          <w:sz w:val="24"/>
          <w:highlight w:val="none"/>
        </w:rPr>
      </w:pPr>
      <w:r>
        <w:rPr>
          <w:sz w:val="24"/>
          <w:highlight w:val="none"/>
        </w:rPr>
        <w:t>3.11《广西膨胀土地区建筑勘察设计施工技术规程》DB45/T 396-2018</w:t>
      </w:r>
    </w:p>
    <w:p>
      <w:pPr>
        <w:spacing w:beforeLines="30" w:afterLines="30" w:line="360" w:lineRule="auto"/>
        <w:ind w:firstLine="435"/>
        <w:rPr>
          <w:sz w:val="24"/>
          <w:highlight w:val="none"/>
        </w:rPr>
      </w:pPr>
      <w:r>
        <w:rPr>
          <w:sz w:val="24"/>
          <w:highlight w:val="none"/>
        </w:rPr>
        <w:t>3.12《土工试验方法标准》GB/T50123-2019</w:t>
      </w:r>
    </w:p>
    <w:p>
      <w:pPr>
        <w:spacing w:beforeLines="30" w:afterLines="30" w:line="360" w:lineRule="auto"/>
        <w:ind w:firstLine="435"/>
        <w:rPr>
          <w:sz w:val="24"/>
          <w:highlight w:val="none"/>
        </w:rPr>
      </w:pPr>
      <w:r>
        <w:rPr>
          <w:sz w:val="24"/>
          <w:highlight w:val="none"/>
        </w:rPr>
        <w:t>3.13《土的工程分类标准》（GB/T50145-2007）</w:t>
      </w:r>
    </w:p>
    <w:p>
      <w:pPr>
        <w:spacing w:beforeLines="30" w:afterLines="30" w:line="360" w:lineRule="auto"/>
        <w:ind w:firstLine="435"/>
        <w:rPr>
          <w:sz w:val="24"/>
          <w:highlight w:val="none"/>
        </w:rPr>
      </w:pPr>
      <w:r>
        <w:rPr>
          <w:sz w:val="24"/>
          <w:highlight w:val="none"/>
        </w:rPr>
        <w:t>3.14《建筑工程地质勘探与取样技术规程》JGJ/T87-2012</w:t>
      </w:r>
    </w:p>
    <w:p>
      <w:pPr>
        <w:spacing w:beforeLines="30" w:afterLines="30" w:line="360" w:lineRule="auto"/>
        <w:ind w:firstLine="435"/>
        <w:rPr>
          <w:sz w:val="24"/>
          <w:highlight w:val="none"/>
        </w:rPr>
      </w:pPr>
      <w:r>
        <w:rPr>
          <w:sz w:val="24"/>
          <w:highlight w:val="none"/>
        </w:rPr>
        <w:t>3.15《工程岩体分级标准》GB/T50218-2014</w:t>
      </w:r>
    </w:p>
    <w:p>
      <w:pPr>
        <w:spacing w:beforeLines="30" w:afterLines="30" w:line="360" w:lineRule="auto"/>
        <w:ind w:firstLine="435"/>
        <w:rPr>
          <w:sz w:val="24"/>
          <w:highlight w:val="none"/>
        </w:rPr>
      </w:pPr>
      <w:r>
        <w:rPr>
          <w:sz w:val="24"/>
          <w:highlight w:val="none"/>
        </w:rPr>
        <w:t>3.16《岩土工程勘察文件编制深度规定》DGTJ 08-72-2012</w:t>
      </w:r>
    </w:p>
    <w:p>
      <w:pPr>
        <w:spacing w:beforeLines="30" w:afterLines="30" w:line="360" w:lineRule="auto"/>
        <w:ind w:firstLine="435"/>
        <w:rPr>
          <w:sz w:val="24"/>
          <w:highlight w:val="none"/>
        </w:rPr>
      </w:pPr>
      <w:r>
        <w:rPr>
          <w:sz w:val="24"/>
          <w:highlight w:val="none"/>
        </w:rPr>
        <w:t>3.17《岩土工程基本术语标准》GB/T50279-2014</w:t>
      </w:r>
    </w:p>
    <w:p>
      <w:pPr>
        <w:pStyle w:val="4"/>
        <w:rPr>
          <w:sz w:val="28"/>
          <w:szCs w:val="28"/>
          <w:highlight w:val="none"/>
        </w:rPr>
      </w:pPr>
      <w:bookmarkStart w:id="7" w:name="_Toc27703"/>
      <w:r>
        <w:rPr>
          <w:rFonts w:hint="eastAsia"/>
          <w:sz w:val="28"/>
          <w:szCs w:val="28"/>
          <w:highlight w:val="none"/>
        </w:rPr>
        <w:t>四、主要勘察技术要求</w:t>
      </w:r>
      <w:bookmarkEnd w:id="7"/>
    </w:p>
    <w:p>
      <w:pPr>
        <w:spacing w:beforeLines="30" w:afterLines="30" w:line="360" w:lineRule="auto"/>
        <w:ind w:firstLine="435"/>
        <w:rPr>
          <w:sz w:val="24"/>
          <w:highlight w:val="none"/>
        </w:rPr>
      </w:pPr>
      <w:r>
        <w:rPr>
          <w:sz w:val="24"/>
          <w:highlight w:val="none"/>
        </w:rPr>
        <w:t>工程地质勘察应严格按《岩土工程勘察规范》</w:t>
      </w:r>
      <w:r>
        <w:rPr>
          <w:rFonts w:hint="eastAsia"/>
          <w:sz w:val="24"/>
          <w:highlight w:val="none"/>
        </w:rPr>
        <w:t>（GB 50021-2001 2009年版）</w:t>
      </w:r>
      <w:r>
        <w:rPr>
          <w:sz w:val="24"/>
          <w:highlight w:val="none"/>
        </w:rPr>
        <w:t>执行，本次勘探为详细勘探，其中主要技术要求如下：</w:t>
      </w:r>
    </w:p>
    <w:p>
      <w:pPr>
        <w:spacing w:beforeLines="30" w:afterLines="30" w:line="360" w:lineRule="auto"/>
        <w:ind w:firstLine="435"/>
        <w:rPr>
          <w:sz w:val="24"/>
          <w:highlight w:val="none"/>
        </w:rPr>
      </w:pPr>
      <w:r>
        <w:rPr>
          <w:sz w:val="24"/>
          <w:highlight w:val="none"/>
        </w:rPr>
        <w:t xml:space="preserve">   4.1本次勘察应按为施工图提供设计依据的地质详勘要求进行，详细勘察的要求详见《岩土工程勘察规范》</w:t>
      </w:r>
      <w:r>
        <w:rPr>
          <w:rFonts w:hint="eastAsia"/>
          <w:sz w:val="24"/>
          <w:highlight w:val="none"/>
        </w:rPr>
        <w:t>（GB 50021-2001 2009年版）</w:t>
      </w:r>
      <w:r>
        <w:rPr>
          <w:sz w:val="24"/>
          <w:highlight w:val="none"/>
        </w:rPr>
        <w:t>第4章，并应按其规定的内容描述详细；详细勘察取样和测试应严格按《岩土工程勘察规范》</w:t>
      </w:r>
      <w:r>
        <w:rPr>
          <w:rFonts w:hint="eastAsia"/>
          <w:sz w:val="24"/>
          <w:highlight w:val="none"/>
        </w:rPr>
        <w:t>（GB 50021-2001 2009年版）</w:t>
      </w:r>
      <w:r>
        <w:rPr>
          <w:sz w:val="24"/>
          <w:highlight w:val="none"/>
        </w:rPr>
        <w:t>第4.1.20条的规定进行。</w:t>
      </w:r>
    </w:p>
    <w:p>
      <w:pPr>
        <w:spacing w:beforeLines="30" w:afterLines="30" w:line="360" w:lineRule="auto"/>
        <w:ind w:firstLine="435"/>
        <w:rPr>
          <w:sz w:val="24"/>
          <w:highlight w:val="none"/>
        </w:rPr>
      </w:pPr>
      <w:r>
        <w:rPr>
          <w:sz w:val="24"/>
          <w:highlight w:val="none"/>
        </w:rPr>
        <w:t xml:space="preserve">   4.2钻孔深度应按《岩土工程勘察规范》</w:t>
      </w:r>
      <w:r>
        <w:rPr>
          <w:rFonts w:hint="eastAsia"/>
          <w:sz w:val="24"/>
          <w:highlight w:val="none"/>
        </w:rPr>
        <w:t>（GB 50021-2001 2009年版）</w:t>
      </w:r>
      <w:r>
        <w:rPr>
          <w:sz w:val="24"/>
          <w:highlight w:val="none"/>
        </w:rPr>
        <w:t>第4.1.18条的规定确定，钻探孔最小深度应满足桩基设计要求，控制孔深按照规范进行布置，并进入预计的持力层以下。</w:t>
      </w:r>
    </w:p>
    <w:p>
      <w:pPr>
        <w:spacing w:beforeLines="30" w:afterLines="30" w:line="360" w:lineRule="auto"/>
        <w:ind w:firstLine="435"/>
        <w:rPr>
          <w:sz w:val="24"/>
          <w:highlight w:val="none"/>
        </w:rPr>
      </w:pPr>
      <w:r>
        <w:rPr>
          <w:sz w:val="24"/>
          <w:highlight w:val="none"/>
        </w:rPr>
        <w:t xml:space="preserve">    4.3在勘察作业前，勘察单位应结合投标技术方案以及工程实际情况编制《工程勘察施工组织方案》，经建设单位和设计单位确认后方可实施。工程勘察方案应至少包括如下内容：</w:t>
      </w:r>
    </w:p>
    <w:p>
      <w:pPr>
        <w:spacing w:beforeLines="30" w:afterLines="30" w:line="360" w:lineRule="auto"/>
        <w:ind w:firstLine="435"/>
        <w:rPr>
          <w:sz w:val="24"/>
          <w:highlight w:val="none"/>
        </w:rPr>
      </w:pPr>
      <w:r>
        <w:rPr>
          <w:sz w:val="24"/>
          <w:highlight w:val="none"/>
        </w:rPr>
        <w:t>(1)工程概述（包括本次勘察任务、目标等）</w:t>
      </w:r>
    </w:p>
    <w:p>
      <w:pPr>
        <w:spacing w:beforeLines="30" w:afterLines="30" w:line="360" w:lineRule="auto"/>
        <w:ind w:firstLine="435"/>
        <w:rPr>
          <w:sz w:val="24"/>
          <w:highlight w:val="none"/>
        </w:rPr>
      </w:pPr>
      <w:r>
        <w:rPr>
          <w:sz w:val="24"/>
          <w:highlight w:val="none"/>
        </w:rPr>
        <w:t>(2)项目组织（包括组织机构，人员组成、职责、资格，制度等）</w:t>
      </w:r>
    </w:p>
    <w:p>
      <w:pPr>
        <w:spacing w:beforeLines="30" w:afterLines="30" w:line="360" w:lineRule="auto"/>
        <w:ind w:firstLine="435"/>
        <w:rPr>
          <w:sz w:val="24"/>
          <w:highlight w:val="none"/>
        </w:rPr>
      </w:pPr>
      <w:r>
        <w:rPr>
          <w:sz w:val="24"/>
          <w:highlight w:val="none"/>
        </w:rPr>
        <w:t>(3)主要勘察方法和具体指标</w:t>
      </w:r>
    </w:p>
    <w:p>
      <w:pPr>
        <w:spacing w:beforeLines="30" w:afterLines="30" w:line="360" w:lineRule="auto"/>
        <w:ind w:firstLine="435"/>
        <w:rPr>
          <w:sz w:val="24"/>
          <w:highlight w:val="none"/>
        </w:rPr>
      </w:pPr>
      <w:r>
        <w:rPr>
          <w:sz w:val="24"/>
          <w:highlight w:val="none"/>
        </w:rPr>
        <w:t>(4)人员及机械设备投入情况</w:t>
      </w:r>
    </w:p>
    <w:p>
      <w:pPr>
        <w:spacing w:beforeLines="30" w:afterLines="30" w:line="360" w:lineRule="auto"/>
        <w:ind w:firstLine="435"/>
        <w:rPr>
          <w:sz w:val="24"/>
          <w:highlight w:val="none"/>
        </w:rPr>
      </w:pPr>
      <w:r>
        <w:rPr>
          <w:sz w:val="24"/>
          <w:highlight w:val="none"/>
        </w:rPr>
        <w:t>(5)工程进度计划及工期保证措施（网络图或横道图）；</w:t>
      </w:r>
    </w:p>
    <w:p>
      <w:pPr>
        <w:spacing w:beforeLines="30" w:afterLines="30" w:line="360" w:lineRule="auto"/>
        <w:ind w:firstLine="435"/>
        <w:rPr>
          <w:sz w:val="24"/>
          <w:highlight w:val="none"/>
        </w:rPr>
      </w:pPr>
      <w:r>
        <w:rPr>
          <w:sz w:val="24"/>
          <w:highlight w:val="none"/>
        </w:rPr>
        <w:t>(6)确保勘察质量及安全的措施</w:t>
      </w:r>
    </w:p>
    <w:p>
      <w:pPr>
        <w:spacing w:beforeLines="30" w:afterLines="30" w:line="360" w:lineRule="auto"/>
        <w:ind w:firstLine="435"/>
        <w:rPr>
          <w:sz w:val="24"/>
          <w:highlight w:val="none"/>
        </w:rPr>
      </w:pPr>
      <w:r>
        <w:rPr>
          <w:sz w:val="24"/>
          <w:highlight w:val="none"/>
        </w:rPr>
        <w:t xml:space="preserve">(7)地质勘察总平面图(勘探点布置图) </w:t>
      </w:r>
    </w:p>
    <w:p>
      <w:pPr>
        <w:spacing w:beforeLines="30" w:afterLines="30" w:line="360" w:lineRule="auto"/>
        <w:ind w:firstLine="435"/>
        <w:rPr>
          <w:sz w:val="24"/>
          <w:highlight w:val="none"/>
        </w:rPr>
      </w:pPr>
      <w:r>
        <w:rPr>
          <w:sz w:val="24"/>
          <w:highlight w:val="none"/>
        </w:rPr>
        <w:t>(8)拟提供分析报告的主要内容</w:t>
      </w:r>
    </w:p>
    <w:p>
      <w:pPr>
        <w:spacing w:beforeLines="30" w:afterLines="30" w:line="360" w:lineRule="auto"/>
        <w:ind w:firstLine="435"/>
        <w:rPr>
          <w:sz w:val="24"/>
          <w:highlight w:val="none"/>
        </w:rPr>
      </w:pPr>
      <w:r>
        <w:rPr>
          <w:sz w:val="24"/>
          <w:highlight w:val="none"/>
        </w:rPr>
        <w:t>(9)其他（包括建议或需建设单位配合的事宜）。</w:t>
      </w:r>
    </w:p>
    <w:p>
      <w:pPr>
        <w:spacing w:beforeLines="30" w:afterLines="30" w:line="360" w:lineRule="auto"/>
        <w:ind w:firstLine="435"/>
        <w:rPr>
          <w:sz w:val="24"/>
          <w:highlight w:val="none"/>
        </w:rPr>
      </w:pPr>
      <w:r>
        <w:rPr>
          <w:sz w:val="24"/>
          <w:highlight w:val="none"/>
        </w:rPr>
        <w:t>4.4勘探点可采用钻探、原位触探相结合的方式，但是钻探点的布置要足以评价建筑物纵横两个方向地层土质的均匀性和岩土力学特性，并符合设计对勘探的要求。勘探点的布置，要满足：</w:t>
      </w:r>
    </w:p>
    <w:p>
      <w:pPr>
        <w:spacing w:beforeLines="30" w:afterLines="30" w:line="360" w:lineRule="auto"/>
        <w:ind w:firstLine="435"/>
        <w:rPr>
          <w:sz w:val="24"/>
          <w:highlight w:val="none"/>
        </w:rPr>
      </w:pPr>
      <w:r>
        <w:rPr>
          <w:sz w:val="24"/>
          <w:highlight w:val="none"/>
        </w:rPr>
        <w:t>(1)满足施工图设计的需要；</w:t>
      </w:r>
    </w:p>
    <w:p>
      <w:pPr>
        <w:spacing w:beforeLines="30" w:afterLines="30" w:line="360" w:lineRule="auto"/>
        <w:ind w:firstLine="435"/>
        <w:rPr>
          <w:sz w:val="24"/>
          <w:highlight w:val="none"/>
        </w:rPr>
      </w:pPr>
      <w:r>
        <w:rPr>
          <w:sz w:val="24"/>
          <w:highlight w:val="none"/>
        </w:rPr>
        <w:t>(2)桩基设计和施工的需要；</w:t>
      </w:r>
    </w:p>
    <w:p>
      <w:pPr>
        <w:spacing w:beforeLines="30" w:afterLines="30" w:line="360" w:lineRule="auto"/>
        <w:ind w:firstLine="435"/>
        <w:rPr>
          <w:sz w:val="24"/>
          <w:highlight w:val="none"/>
        </w:rPr>
      </w:pPr>
      <w:r>
        <w:rPr>
          <w:sz w:val="24"/>
          <w:highlight w:val="none"/>
        </w:rPr>
        <w:t>(3)基坑支护工程设计与施工的需要；</w:t>
      </w:r>
    </w:p>
    <w:p>
      <w:pPr>
        <w:spacing w:beforeLines="30" w:afterLines="30" w:line="360" w:lineRule="auto"/>
        <w:ind w:firstLine="435"/>
        <w:rPr>
          <w:sz w:val="24"/>
          <w:highlight w:val="none"/>
        </w:rPr>
      </w:pPr>
      <w:r>
        <w:rPr>
          <w:sz w:val="24"/>
          <w:highlight w:val="none"/>
        </w:rPr>
        <w:t>(4)评价、论证地基土和地下水在建筑施工和使用期间可能产生的变化及其对工程和环境影响的需要。</w:t>
      </w:r>
    </w:p>
    <w:p>
      <w:pPr>
        <w:spacing w:beforeLines="30" w:afterLines="30" w:line="360" w:lineRule="auto"/>
        <w:ind w:firstLine="435"/>
        <w:rPr>
          <w:sz w:val="24"/>
          <w:highlight w:val="none"/>
        </w:rPr>
      </w:pPr>
      <w:r>
        <w:rPr>
          <w:sz w:val="24"/>
          <w:highlight w:val="none"/>
        </w:rPr>
        <w:t>4.5布置勘探工作时应充分考虑勘探工作对工程自然环境的影响，防止对地下管线、地下工程和自然环境的破坏。</w:t>
      </w:r>
    </w:p>
    <w:p>
      <w:pPr>
        <w:spacing w:beforeLines="30" w:afterLines="30" w:line="360" w:lineRule="auto"/>
        <w:ind w:firstLine="435"/>
        <w:rPr>
          <w:sz w:val="24"/>
          <w:highlight w:val="none"/>
        </w:rPr>
      </w:pPr>
      <w:r>
        <w:rPr>
          <w:sz w:val="24"/>
          <w:highlight w:val="none"/>
        </w:rPr>
        <w:t>4.6钻探方法及钻具（含其规格）的选择应满足本工程地质勘察要求并符合现行国家标准的规定，钻孔作业人员应持证上岗；钻孔作业期间应采取切实有效的措施，确保施工安全，作业完毕后应妥善回填。</w:t>
      </w:r>
    </w:p>
    <w:p>
      <w:pPr>
        <w:spacing w:beforeLines="30" w:afterLines="30" w:line="360" w:lineRule="auto"/>
        <w:ind w:firstLine="435"/>
        <w:rPr>
          <w:sz w:val="24"/>
          <w:highlight w:val="none"/>
        </w:rPr>
      </w:pPr>
      <w:r>
        <w:rPr>
          <w:sz w:val="24"/>
          <w:highlight w:val="none"/>
        </w:rPr>
        <w:t>4.7钻探作业时，钻进深度和岩土分层深度的量测精度</w:t>
      </w:r>
      <w:r>
        <w:rPr>
          <w:rFonts w:hint="eastAsia"/>
          <w:sz w:val="24"/>
          <w:highlight w:val="none"/>
        </w:rPr>
        <w:t>、</w:t>
      </w:r>
      <w:r>
        <w:rPr>
          <w:sz w:val="24"/>
          <w:highlight w:val="none"/>
        </w:rPr>
        <w:t>钻孔倾角和方位的量测精度应符合《岩土工程勘察规范》</w:t>
      </w:r>
      <w:r>
        <w:rPr>
          <w:rFonts w:hint="eastAsia"/>
          <w:sz w:val="24"/>
          <w:highlight w:val="none"/>
        </w:rPr>
        <w:t>（GB 50021-2001 2009年版）</w:t>
      </w:r>
      <w:r>
        <w:rPr>
          <w:sz w:val="24"/>
          <w:highlight w:val="none"/>
        </w:rPr>
        <w:t>的相关规定。当非连续取芯钻进时，应严格控制回次进尺，确保分层精度符合要求。重点部位，应采用双层岩芯管连续取芯。</w:t>
      </w:r>
    </w:p>
    <w:p>
      <w:pPr>
        <w:spacing w:beforeLines="30" w:afterLines="30" w:line="360" w:lineRule="auto"/>
        <w:ind w:firstLine="435"/>
        <w:rPr>
          <w:sz w:val="24"/>
          <w:highlight w:val="none"/>
        </w:rPr>
      </w:pPr>
      <w:r>
        <w:rPr>
          <w:sz w:val="24"/>
          <w:highlight w:val="none"/>
        </w:rPr>
        <w:t>4.8野外记录应由专人负责；记录应及时、真实，按钻进回次逐段填写，严禁事后追记；钻探现场应综合肉眼、手触方法以及微型贯入仪等定量方法进行鉴别；钻探成果应采用钻孔野外柱状图或分层记录表示。</w:t>
      </w:r>
    </w:p>
    <w:p>
      <w:pPr>
        <w:spacing w:beforeLines="30" w:afterLines="30" w:line="360" w:lineRule="auto"/>
        <w:ind w:firstLine="435"/>
        <w:rPr>
          <w:sz w:val="24"/>
          <w:highlight w:val="none"/>
        </w:rPr>
      </w:pPr>
      <w:r>
        <w:rPr>
          <w:sz w:val="24"/>
          <w:highlight w:val="none"/>
        </w:rPr>
        <w:t>4.9钻探取样时，应保证80%的土试样质量等级为Ⅰ级；试样采取的工具（及其规格）和方法应符合《岩土工程勘察规范》</w:t>
      </w:r>
      <w:r>
        <w:rPr>
          <w:rFonts w:hint="eastAsia"/>
          <w:sz w:val="24"/>
          <w:highlight w:val="none"/>
        </w:rPr>
        <w:t>（GB 50021-2001 2009年版）</w:t>
      </w:r>
      <w:r>
        <w:rPr>
          <w:sz w:val="24"/>
          <w:highlight w:val="none"/>
        </w:rPr>
        <w:t>的相关规定；操作方法</w:t>
      </w:r>
      <w:r>
        <w:rPr>
          <w:rFonts w:hint="eastAsia"/>
          <w:sz w:val="24"/>
          <w:highlight w:val="none"/>
        </w:rPr>
        <w:t>按照</w:t>
      </w:r>
      <w:r>
        <w:rPr>
          <w:sz w:val="24"/>
          <w:highlight w:val="none"/>
        </w:rPr>
        <w:t>《建筑工程地质勘探与取样技术规程》JGJ/T87-2012执行；土试样应妥善密封，防止湿度变化，严防曝晒或冰冻。在运输中应避免振动，保存时间不宜超过三周。对易于振动液化和水分离析的土试样宜就近进行试验。</w:t>
      </w:r>
    </w:p>
    <w:p>
      <w:pPr>
        <w:spacing w:beforeLines="30" w:afterLines="30" w:line="360" w:lineRule="auto"/>
        <w:ind w:firstLine="435"/>
        <w:rPr>
          <w:sz w:val="24"/>
          <w:highlight w:val="none"/>
        </w:rPr>
      </w:pPr>
      <w:r>
        <w:rPr>
          <w:sz w:val="24"/>
          <w:highlight w:val="none"/>
        </w:rPr>
        <w:t>4.10现场探察时，可采用地球物理勘探了解隐蔽的地质界线、界面或异常点；在钻孔之间增加地球物理勘探点，为钻探成果的内插、外推提供依据；作为原位测试手段，测定岩土体的波速、动弹性模量、动剪切模量、卓越周期、电阻率、放射性辐射参数、土对金属的腐蚀性等。</w:t>
      </w:r>
    </w:p>
    <w:p>
      <w:pPr>
        <w:spacing w:beforeLines="30" w:afterLines="30" w:line="360" w:lineRule="auto"/>
        <w:ind w:firstLine="435"/>
        <w:rPr>
          <w:sz w:val="24"/>
          <w:highlight w:val="none"/>
        </w:rPr>
      </w:pPr>
      <w:r>
        <w:rPr>
          <w:sz w:val="24"/>
          <w:highlight w:val="none"/>
        </w:rPr>
        <w:t>4.11原位触探点应同钻探点有机布置，原位触探试验应符合《岩土工程勘察规范》</w:t>
      </w:r>
      <w:r>
        <w:rPr>
          <w:rFonts w:hint="eastAsia"/>
          <w:sz w:val="24"/>
          <w:highlight w:val="none"/>
        </w:rPr>
        <w:t>（GB 50021-2001 2009年版）</w:t>
      </w:r>
      <w:r>
        <w:rPr>
          <w:sz w:val="24"/>
          <w:highlight w:val="none"/>
        </w:rPr>
        <w:t>的相关规定；其他相关原位测试试验，应结合工程勘察需求进行，确保能够全面查明工程水文地质情况以及相应物理力学性能。</w:t>
      </w:r>
    </w:p>
    <w:p>
      <w:pPr>
        <w:spacing w:beforeLines="30" w:afterLines="30" w:line="360" w:lineRule="auto"/>
        <w:ind w:firstLine="435"/>
        <w:rPr>
          <w:highlight w:val="none"/>
        </w:rPr>
      </w:pPr>
      <w:r>
        <w:rPr>
          <w:sz w:val="24"/>
          <w:highlight w:val="none"/>
        </w:rPr>
        <w:t>4.12土试样的室内试验应遵照《岩土工程勘察规范》</w:t>
      </w:r>
      <w:r>
        <w:rPr>
          <w:rFonts w:hint="eastAsia"/>
          <w:sz w:val="24"/>
          <w:highlight w:val="none"/>
        </w:rPr>
        <w:t>（GB 50021-2001 2009年版）</w:t>
      </w:r>
      <w:r>
        <w:rPr>
          <w:sz w:val="24"/>
          <w:highlight w:val="none"/>
        </w:rPr>
        <w:t>以及《土工试验方法标准》（GB/T50123-2019）等标准规范的规定。</w:t>
      </w:r>
    </w:p>
    <w:p>
      <w:pPr>
        <w:pStyle w:val="4"/>
        <w:rPr>
          <w:sz w:val="28"/>
          <w:szCs w:val="28"/>
          <w:highlight w:val="none"/>
        </w:rPr>
      </w:pPr>
      <w:bookmarkStart w:id="8" w:name="_Toc2830"/>
      <w:r>
        <w:rPr>
          <w:rFonts w:hint="eastAsia"/>
          <w:sz w:val="28"/>
          <w:szCs w:val="28"/>
          <w:highlight w:val="none"/>
        </w:rPr>
        <w:t>五、勘察成果编制要求</w:t>
      </w:r>
      <w:bookmarkEnd w:id="8"/>
    </w:p>
    <w:p>
      <w:pPr>
        <w:spacing w:beforeLines="30" w:afterLines="30" w:line="360" w:lineRule="auto"/>
        <w:ind w:firstLine="437"/>
        <w:rPr>
          <w:sz w:val="24"/>
          <w:highlight w:val="none"/>
        </w:rPr>
      </w:pPr>
      <w:r>
        <w:rPr>
          <w:sz w:val="24"/>
          <w:highlight w:val="none"/>
        </w:rPr>
        <w:t>5.1勘探人应结合本任务书要求以及《岩土工程勘察规范》</w:t>
      </w:r>
      <w:r>
        <w:rPr>
          <w:rFonts w:hint="eastAsia"/>
          <w:sz w:val="24"/>
          <w:highlight w:val="none"/>
        </w:rPr>
        <w:t>（GB 50021-2001 2009年版）</w:t>
      </w:r>
      <w:r>
        <w:rPr>
          <w:sz w:val="24"/>
          <w:highlight w:val="none"/>
        </w:rPr>
        <w:t>等标准规范的规定，根据现场勘察作业情况、实验分析情况等，如实编制工程勘察报告，经</w:t>
      </w:r>
      <w:r>
        <w:rPr>
          <w:rFonts w:hint="eastAsia" w:ascii="宋体" w:hAnsi="宋体"/>
          <w:color w:val="auto"/>
          <w:kern w:val="0"/>
          <w:sz w:val="24"/>
          <w:highlight w:val="none"/>
          <w:lang w:val="en-US" w:eastAsia="zh-CN"/>
        </w:rPr>
        <w:t>第三方审图机构</w:t>
      </w:r>
      <w:r>
        <w:rPr>
          <w:color w:val="auto"/>
          <w:sz w:val="24"/>
          <w:highlight w:val="none"/>
        </w:rPr>
        <w:t>校对、审查合格</w:t>
      </w:r>
      <w:r>
        <w:rPr>
          <w:rFonts w:hint="eastAsia"/>
          <w:color w:val="auto"/>
          <w:sz w:val="24"/>
          <w:highlight w:val="none"/>
          <w:lang w:val="en-US" w:eastAsia="zh-CN"/>
        </w:rPr>
        <w:t>后报当地住建局相关部门审查合格的勘察成果</w:t>
      </w:r>
      <w:r>
        <w:rPr>
          <w:sz w:val="24"/>
          <w:highlight w:val="none"/>
        </w:rPr>
        <w:t>方可提交给建设单位。</w:t>
      </w:r>
    </w:p>
    <w:p>
      <w:pPr>
        <w:spacing w:beforeLines="30" w:afterLines="30" w:line="360" w:lineRule="auto"/>
        <w:ind w:firstLine="437"/>
        <w:rPr>
          <w:sz w:val="24"/>
          <w:highlight w:val="none"/>
        </w:rPr>
      </w:pPr>
      <w:r>
        <w:rPr>
          <w:sz w:val="24"/>
          <w:highlight w:val="none"/>
        </w:rPr>
        <w:t>5.2工程勘察报告应全面体现本工程勘探任务要求，全面客观评价本工程地质情况，资料完整、分析科学、数据真实无误、图表清晰、结论有据，并因地制宜地对工程设计与施工提出合理建议。</w:t>
      </w:r>
    </w:p>
    <w:p>
      <w:pPr>
        <w:spacing w:beforeLines="30" w:afterLines="30" w:line="360" w:lineRule="auto"/>
        <w:ind w:firstLine="437"/>
        <w:rPr>
          <w:sz w:val="24"/>
          <w:highlight w:val="none"/>
        </w:rPr>
      </w:pPr>
      <w:r>
        <w:rPr>
          <w:sz w:val="24"/>
          <w:highlight w:val="none"/>
        </w:rPr>
        <w:t>5.3工程勘察报告由文字部分和图表部分组成，其中文字部分至少应包括：</w:t>
      </w:r>
    </w:p>
    <w:p>
      <w:pPr>
        <w:spacing w:beforeLines="30" w:afterLines="30" w:line="360" w:lineRule="auto"/>
        <w:ind w:firstLine="437"/>
        <w:rPr>
          <w:sz w:val="24"/>
          <w:highlight w:val="none"/>
        </w:rPr>
      </w:pPr>
      <w:r>
        <w:rPr>
          <w:sz w:val="24"/>
          <w:highlight w:val="none"/>
        </w:rPr>
        <w:t>(1)拟建工程概况、勘察目的、任务要求和依据的技术标准；</w:t>
      </w:r>
    </w:p>
    <w:p>
      <w:pPr>
        <w:spacing w:beforeLines="30" w:afterLines="30" w:line="360" w:lineRule="auto"/>
        <w:ind w:firstLine="437"/>
        <w:rPr>
          <w:sz w:val="24"/>
          <w:highlight w:val="none"/>
        </w:rPr>
      </w:pPr>
      <w:r>
        <w:rPr>
          <w:sz w:val="24"/>
          <w:highlight w:val="none"/>
        </w:rPr>
        <w:t>(2)勘探点位布置及勘察方法情况，原土取样及实验分析情况；</w:t>
      </w:r>
    </w:p>
    <w:p>
      <w:pPr>
        <w:spacing w:beforeLines="30" w:afterLines="30" w:line="360" w:lineRule="auto"/>
        <w:ind w:firstLine="437"/>
        <w:rPr>
          <w:sz w:val="24"/>
          <w:highlight w:val="none"/>
        </w:rPr>
      </w:pPr>
      <w:r>
        <w:rPr>
          <w:sz w:val="24"/>
          <w:highlight w:val="none"/>
        </w:rPr>
        <w:t>(3)场地位置、地形地貌、地质构造、不良地质现象、地形成层条件、水文地质条件（包括水埋藏情况、类型、水位及其变化等），各土层的分布情况以及物理特性、性质指标、强度参数、变形参数、地基承载力的建议值等。</w:t>
      </w:r>
    </w:p>
    <w:p>
      <w:pPr>
        <w:spacing w:beforeLines="30" w:afterLines="30" w:line="360" w:lineRule="auto"/>
        <w:ind w:firstLine="437"/>
        <w:rPr>
          <w:sz w:val="24"/>
          <w:highlight w:val="none"/>
        </w:rPr>
      </w:pPr>
      <w:r>
        <w:rPr>
          <w:sz w:val="24"/>
          <w:highlight w:val="none"/>
        </w:rPr>
        <w:t>(4)场地的稳定性和适宜性评价、地下水及土质对建筑物的腐蚀影响、地震基本烈度以及由于工程建设可能引起的工程地质问题及其防治措施，适宜的基础形式和有关的计算参数及施工中应注意的事项等。</w:t>
      </w:r>
    </w:p>
    <w:p>
      <w:pPr>
        <w:spacing w:beforeLines="30" w:afterLines="30" w:line="360" w:lineRule="auto"/>
        <w:ind w:firstLine="437"/>
        <w:rPr>
          <w:sz w:val="24"/>
          <w:highlight w:val="none"/>
        </w:rPr>
      </w:pPr>
      <w:r>
        <w:rPr>
          <w:sz w:val="24"/>
          <w:highlight w:val="none"/>
        </w:rPr>
        <w:t>(5)对岩土利用、整治和改造的方案进行分析论证，提出建议；对工程施工和使用期间可能发生的岩土工程问题进行预测，提出监控和预防措施的建议。</w:t>
      </w:r>
    </w:p>
    <w:p>
      <w:pPr>
        <w:spacing w:beforeLines="30" w:afterLines="30" w:line="360" w:lineRule="auto"/>
        <w:ind w:firstLine="437"/>
        <w:rPr>
          <w:sz w:val="24"/>
          <w:highlight w:val="none"/>
        </w:rPr>
      </w:pPr>
      <w:r>
        <w:rPr>
          <w:sz w:val="24"/>
          <w:highlight w:val="none"/>
        </w:rPr>
        <w:t>(6)当工程需要时尚应提供：</w:t>
      </w:r>
    </w:p>
    <w:p>
      <w:pPr>
        <w:spacing w:beforeLines="30" w:afterLines="30" w:line="360" w:lineRule="auto"/>
        <w:ind w:firstLine="437"/>
        <w:rPr>
          <w:sz w:val="24"/>
          <w:highlight w:val="none"/>
        </w:rPr>
      </w:pPr>
      <w:r>
        <w:rPr>
          <w:sz w:val="24"/>
          <w:highlight w:val="none"/>
        </w:rPr>
        <w:t>1)深基坑开挖的边坡稳定计算和支护实际所需的岩土技术参数，论证其周围已有建筑物地下设施的影响；</w:t>
      </w:r>
    </w:p>
    <w:p>
      <w:pPr>
        <w:spacing w:beforeLines="30" w:afterLines="30" w:line="360" w:lineRule="auto"/>
        <w:ind w:firstLine="437"/>
        <w:rPr>
          <w:sz w:val="24"/>
          <w:highlight w:val="none"/>
        </w:rPr>
      </w:pPr>
      <w:r>
        <w:rPr>
          <w:sz w:val="24"/>
          <w:highlight w:val="none"/>
        </w:rPr>
        <w:t>2)基坑施工降水的有关技术参数及施工降水方法的建议；</w:t>
      </w:r>
    </w:p>
    <w:p>
      <w:pPr>
        <w:spacing w:beforeLines="30" w:afterLines="30" w:line="360" w:lineRule="auto"/>
        <w:ind w:firstLine="437"/>
        <w:rPr>
          <w:sz w:val="24"/>
          <w:highlight w:val="none"/>
        </w:rPr>
      </w:pPr>
      <w:r>
        <w:rPr>
          <w:sz w:val="24"/>
          <w:highlight w:val="none"/>
        </w:rPr>
        <w:t>3)提供防水设计水位和抗浮设计水位。</w:t>
      </w:r>
    </w:p>
    <w:p>
      <w:pPr>
        <w:spacing w:beforeLines="30" w:afterLines="30" w:line="360" w:lineRule="auto"/>
        <w:ind w:firstLine="437"/>
        <w:rPr>
          <w:sz w:val="24"/>
          <w:highlight w:val="none"/>
        </w:rPr>
      </w:pPr>
      <w:r>
        <w:rPr>
          <w:sz w:val="24"/>
          <w:highlight w:val="none"/>
        </w:rPr>
        <w:t>5.4工程勘察报告中的图纸部分，至少包括：</w:t>
      </w:r>
    </w:p>
    <w:p>
      <w:pPr>
        <w:spacing w:beforeLines="30" w:afterLines="30" w:line="360" w:lineRule="auto"/>
        <w:ind w:firstLine="437"/>
        <w:rPr>
          <w:sz w:val="24"/>
          <w:highlight w:val="none"/>
        </w:rPr>
      </w:pPr>
      <w:r>
        <w:rPr>
          <w:sz w:val="24"/>
          <w:highlight w:val="none"/>
        </w:rPr>
        <w:t>(1)勘探点平面布置图；</w:t>
      </w:r>
    </w:p>
    <w:p>
      <w:pPr>
        <w:spacing w:beforeLines="30" w:afterLines="30" w:line="360" w:lineRule="auto"/>
        <w:ind w:firstLine="437"/>
        <w:rPr>
          <w:sz w:val="24"/>
          <w:highlight w:val="none"/>
        </w:rPr>
      </w:pPr>
      <w:r>
        <w:rPr>
          <w:sz w:val="24"/>
          <w:highlight w:val="none"/>
        </w:rPr>
        <w:t>(2)综合工程地质图或工程地质分区图</w:t>
      </w:r>
      <w:r>
        <w:rPr>
          <w:rFonts w:hint="eastAsia"/>
          <w:sz w:val="24"/>
          <w:highlight w:val="none"/>
        </w:rPr>
        <w:t>；</w:t>
      </w:r>
    </w:p>
    <w:p>
      <w:pPr>
        <w:spacing w:beforeLines="30" w:afterLines="30" w:line="360" w:lineRule="auto"/>
        <w:ind w:firstLine="437"/>
        <w:rPr>
          <w:sz w:val="24"/>
          <w:highlight w:val="none"/>
        </w:rPr>
      </w:pPr>
      <w:r>
        <w:rPr>
          <w:sz w:val="24"/>
          <w:highlight w:val="none"/>
        </w:rPr>
        <w:t>(3)工程地质剖面图；</w:t>
      </w:r>
      <w:r>
        <w:rPr>
          <w:rFonts w:hint="eastAsia"/>
          <w:sz w:val="24"/>
          <w:highlight w:val="none"/>
        </w:rPr>
        <w:t xml:space="preserve"> </w:t>
      </w:r>
    </w:p>
    <w:p>
      <w:pPr>
        <w:spacing w:beforeLines="30" w:afterLines="30" w:line="360" w:lineRule="auto"/>
        <w:ind w:firstLine="437"/>
        <w:rPr>
          <w:sz w:val="24"/>
          <w:highlight w:val="none"/>
        </w:rPr>
      </w:pPr>
      <w:r>
        <w:rPr>
          <w:sz w:val="24"/>
          <w:highlight w:val="none"/>
        </w:rPr>
        <w:t>(4)地质柱状图或综合地质柱状图；</w:t>
      </w:r>
    </w:p>
    <w:p>
      <w:pPr>
        <w:spacing w:beforeLines="30" w:afterLines="30" w:line="360" w:lineRule="auto"/>
        <w:ind w:firstLine="437"/>
        <w:rPr>
          <w:sz w:val="24"/>
          <w:highlight w:val="none"/>
        </w:rPr>
      </w:pPr>
      <w:r>
        <w:rPr>
          <w:sz w:val="24"/>
          <w:highlight w:val="none"/>
        </w:rPr>
        <w:t>(5)各主要土层物理力学性质指标统计、钻探点坐标标高深度、土层试验成果等有关测试图表等</w:t>
      </w:r>
      <w:r>
        <w:rPr>
          <w:rFonts w:hint="eastAsia"/>
          <w:sz w:val="24"/>
          <w:highlight w:val="none"/>
        </w:rPr>
        <w:t>；</w:t>
      </w:r>
    </w:p>
    <w:p>
      <w:pPr>
        <w:spacing w:beforeLines="30" w:afterLines="30" w:line="360" w:lineRule="auto"/>
        <w:ind w:firstLine="437"/>
        <w:rPr>
          <w:sz w:val="24"/>
          <w:highlight w:val="none"/>
        </w:rPr>
      </w:pPr>
      <w:r>
        <w:rPr>
          <w:sz w:val="24"/>
          <w:highlight w:val="none"/>
        </w:rPr>
        <w:t>(6)地下水等水位线图；</w:t>
      </w:r>
      <w:r>
        <w:rPr>
          <w:rFonts w:hint="eastAsia"/>
          <w:sz w:val="24"/>
          <w:highlight w:val="none"/>
        </w:rPr>
        <w:t xml:space="preserve"> </w:t>
      </w:r>
    </w:p>
    <w:p>
      <w:pPr>
        <w:spacing w:beforeLines="30" w:afterLines="30" w:line="360" w:lineRule="auto"/>
        <w:ind w:firstLine="437"/>
        <w:rPr>
          <w:sz w:val="24"/>
          <w:highlight w:val="none"/>
        </w:rPr>
      </w:pPr>
      <w:r>
        <w:rPr>
          <w:sz w:val="24"/>
          <w:highlight w:val="none"/>
        </w:rPr>
        <w:t>(7)岩土工程计算简图及计算成果图表等；</w:t>
      </w:r>
    </w:p>
    <w:p>
      <w:pPr>
        <w:spacing w:beforeLines="30" w:afterLines="30" w:line="360" w:lineRule="auto"/>
        <w:ind w:firstLine="240" w:firstLineChars="100"/>
        <w:rPr>
          <w:sz w:val="24"/>
          <w:highlight w:val="none"/>
        </w:rPr>
      </w:pPr>
      <w:r>
        <w:rPr>
          <w:rFonts w:hint="default" w:ascii="Times New Roman" w:hAnsi="Times New Roman" w:cs="Times New Roman"/>
          <w:w w:val="100"/>
          <w:sz w:val="24"/>
          <w:highlight w:val="none"/>
          <w:lang w:eastAsia="zh-CN"/>
        </w:rPr>
        <w:t>（</w:t>
      </w:r>
      <w:r>
        <w:rPr>
          <w:rFonts w:hint="default" w:ascii="Times New Roman" w:hAnsi="Times New Roman" w:cs="Times New Roman"/>
          <w:w w:val="100"/>
          <w:sz w:val="24"/>
          <w:highlight w:val="none"/>
          <w:lang w:val="en-US" w:eastAsia="zh-CN"/>
        </w:rPr>
        <w:t>8</w:t>
      </w:r>
      <w:r>
        <w:rPr>
          <w:rFonts w:hint="default" w:ascii="Times New Roman" w:hAnsi="Times New Roman" w:cs="Times New Roman"/>
          <w:w w:val="100"/>
          <w:sz w:val="24"/>
          <w:highlight w:val="none"/>
          <w:lang w:eastAsia="zh-CN"/>
        </w:rPr>
        <w:t>）</w:t>
      </w:r>
      <w:r>
        <w:rPr>
          <w:rFonts w:hint="eastAsia"/>
          <w:sz w:val="24"/>
          <w:highlight w:val="none"/>
        </w:rPr>
        <w:t>根据现场勘探数据提供本项目用地内的土石比例表</w:t>
      </w:r>
      <w:r>
        <w:rPr>
          <w:sz w:val="24"/>
          <w:highlight w:val="none"/>
        </w:rPr>
        <w:t>。</w:t>
      </w:r>
    </w:p>
    <w:p>
      <w:pPr>
        <w:spacing w:beforeLines="30" w:afterLines="30" w:line="360" w:lineRule="auto"/>
        <w:ind w:firstLine="437"/>
        <w:rPr>
          <w:sz w:val="24"/>
          <w:highlight w:val="none"/>
        </w:rPr>
      </w:pPr>
      <w:r>
        <w:rPr>
          <w:sz w:val="24"/>
          <w:highlight w:val="none"/>
        </w:rPr>
        <w:t>5.5任务需要时，可提交下列专题报告：</w:t>
      </w:r>
    </w:p>
    <w:p>
      <w:pPr>
        <w:spacing w:beforeLines="30" w:afterLines="30" w:line="360" w:lineRule="auto"/>
        <w:ind w:firstLine="437"/>
        <w:rPr>
          <w:sz w:val="24"/>
          <w:highlight w:val="none"/>
        </w:rPr>
      </w:pPr>
      <w:r>
        <w:rPr>
          <w:sz w:val="24"/>
          <w:highlight w:val="none"/>
        </w:rPr>
        <w:t>(1)岩土工程测试报告；</w:t>
      </w:r>
    </w:p>
    <w:p>
      <w:pPr>
        <w:spacing w:beforeLines="30" w:afterLines="30" w:line="360" w:lineRule="auto"/>
        <w:ind w:firstLine="437"/>
        <w:rPr>
          <w:sz w:val="24"/>
          <w:highlight w:val="none"/>
        </w:rPr>
      </w:pPr>
      <w:r>
        <w:rPr>
          <w:sz w:val="24"/>
          <w:highlight w:val="none"/>
        </w:rPr>
        <w:t>(2)岩土工程检验或监测报告；</w:t>
      </w:r>
    </w:p>
    <w:p>
      <w:pPr>
        <w:spacing w:beforeLines="30" w:afterLines="30" w:line="360" w:lineRule="auto"/>
        <w:ind w:firstLine="437"/>
        <w:rPr>
          <w:sz w:val="24"/>
          <w:highlight w:val="none"/>
        </w:rPr>
      </w:pPr>
      <w:r>
        <w:rPr>
          <w:sz w:val="24"/>
          <w:highlight w:val="none"/>
        </w:rPr>
        <w:t>(3)岩土工程事故调查与分析报告；</w:t>
      </w:r>
    </w:p>
    <w:p>
      <w:pPr>
        <w:spacing w:beforeLines="30" w:afterLines="30" w:line="360" w:lineRule="auto"/>
        <w:ind w:firstLine="437"/>
        <w:rPr>
          <w:sz w:val="24"/>
          <w:highlight w:val="none"/>
        </w:rPr>
      </w:pPr>
      <w:r>
        <w:rPr>
          <w:sz w:val="24"/>
          <w:highlight w:val="none"/>
        </w:rPr>
        <w:t>(4)岩土利用、整治或改造方案报告；</w:t>
      </w:r>
    </w:p>
    <w:p>
      <w:pPr>
        <w:spacing w:beforeLines="30" w:afterLines="30" w:line="360" w:lineRule="auto"/>
        <w:ind w:firstLine="437"/>
        <w:rPr>
          <w:sz w:val="24"/>
          <w:highlight w:val="none"/>
        </w:rPr>
      </w:pPr>
      <w:r>
        <w:rPr>
          <w:sz w:val="24"/>
          <w:highlight w:val="none"/>
        </w:rPr>
        <w:t>(5)有关岩土工程问题的专门技术咨询报告等。</w:t>
      </w:r>
    </w:p>
    <w:p>
      <w:pPr>
        <w:spacing w:beforeLines="30" w:afterLines="30" w:line="360" w:lineRule="auto"/>
        <w:ind w:firstLine="437"/>
        <w:rPr>
          <w:sz w:val="24"/>
          <w:highlight w:val="none"/>
        </w:rPr>
      </w:pPr>
      <w:r>
        <w:rPr>
          <w:sz w:val="24"/>
          <w:highlight w:val="none"/>
        </w:rPr>
        <w:t>5.6工程勘察报告的文字、术语、代号、符号、数字、计量单位、标点，均应符合国家有关标准的规定。</w:t>
      </w:r>
    </w:p>
    <w:p>
      <w:pPr>
        <w:pStyle w:val="2"/>
        <w:ind w:firstLine="480" w:firstLineChars="200"/>
        <w:rPr>
          <w:rFonts w:hint="default" w:eastAsia="宋体"/>
          <w:highlight w:val="none"/>
          <w:lang w:val="en-US" w:eastAsia="zh-CN"/>
        </w:rPr>
      </w:pPr>
      <w:r>
        <w:rPr>
          <w:rFonts w:hint="eastAsia"/>
          <w:sz w:val="24"/>
          <w:highlight w:val="none"/>
          <w:lang w:val="en-US" w:eastAsia="zh-CN"/>
        </w:rPr>
        <w:t>5.7交付与建设方的工程勘察报告必须是勘察成果。</w:t>
      </w:r>
    </w:p>
    <w:p>
      <w:pPr>
        <w:pStyle w:val="4"/>
        <w:rPr>
          <w:sz w:val="28"/>
          <w:szCs w:val="28"/>
          <w:highlight w:val="none"/>
        </w:rPr>
      </w:pPr>
      <w:bookmarkStart w:id="9" w:name="_Toc32164"/>
      <w:r>
        <w:rPr>
          <w:rFonts w:hint="eastAsia"/>
          <w:sz w:val="28"/>
          <w:szCs w:val="28"/>
          <w:highlight w:val="none"/>
        </w:rPr>
        <w:t>六、安全要求</w:t>
      </w:r>
      <w:bookmarkEnd w:id="9"/>
    </w:p>
    <w:p>
      <w:pPr>
        <w:spacing w:line="360" w:lineRule="auto"/>
        <w:ind w:firstLine="480" w:firstLineChars="200"/>
        <w:jc w:val="left"/>
        <w:rPr>
          <w:sz w:val="24"/>
          <w:highlight w:val="none"/>
        </w:rPr>
      </w:pPr>
      <w:r>
        <w:rPr>
          <w:rFonts w:hint="eastAsia"/>
          <w:sz w:val="24"/>
          <w:highlight w:val="none"/>
        </w:rPr>
        <w:t>6.1乙方应按国家现行规程、规范和标准进行施工；切实落实好各项安全措施，确保施工现场的安全生产，并接受当地有关部门的检查和监督。</w:t>
      </w:r>
    </w:p>
    <w:p>
      <w:pPr>
        <w:spacing w:line="360" w:lineRule="auto"/>
        <w:ind w:firstLine="480" w:firstLineChars="200"/>
        <w:jc w:val="left"/>
        <w:rPr>
          <w:b/>
          <w:sz w:val="32"/>
          <w:szCs w:val="32"/>
          <w:highlight w:val="none"/>
        </w:rPr>
      </w:pPr>
      <w:r>
        <w:rPr>
          <w:rFonts w:hint="eastAsia"/>
          <w:sz w:val="24"/>
          <w:highlight w:val="none"/>
        </w:rPr>
        <w:t>6.2在施工过程中，凡乙方原因造成的伤亡事故，由乙方承担一切责任。</w:t>
      </w:r>
    </w:p>
    <w:p>
      <w:pPr>
        <w:pStyle w:val="4"/>
        <w:rPr>
          <w:sz w:val="28"/>
          <w:szCs w:val="28"/>
          <w:highlight w:val="none"/>
        </w:rPr>
      </w:pPr>
      <w:bookmarkStart w:id="10" w:name="_Toc26431"/>
      <w:r>
        <w:rPr>
          <w:rFonts w:hint="eastAsia"/>
          <w:sz w:val="28"/>
          <w:szCs w:val="28"/>
          <w:highlight w:val="none"/>
        </w:rPr>
        <w:t>七、其他事项</w:t>
      </w:r>
      <w:bookmarkEnd w:id="10"/>
    </w:p>
    <w:p>
      <w:pPr>
        <w:spacing w:beforeLines="30" w:afterLines="30" w:line="360" w:lineRule="auto"/>
        <w:ind w:firstLine="435"/>
        <w:rPr>
          <w:sz w:val="24"/>
          <w:highlight w:val="none"/>
        </w:rPr>
      </w:pPr>
      <w:r>
        <w:rPr>
          <w:rFonts w:hint="eastAsia"/>
          <w:sz w:val="24"/>
          <w:highlight w:val="none"/>
        </w:rPr>
        <w:t>7.1投标技术文件应结合现行相关标准规范的规定以及本项目实际需要，确定勘探点类型以及拟测试项目类别，并注明理由；</w:t>
      </w:r>
    </w:p>
    <w:p>
      <w:pPr>
        <w:spacing w:beforeLines="30" w:afterLines="30" w:line="360" w:lineRule="auto"/>
        <w:ind w:firstLine="435"/>
        <w:rPr>
          <w:sz w:val="24"/>
          <w:highlight w:val="none"/>
        </w:rPr>
      </w:pPr>
      <w:r>
        <w:rPr>
          <w:rFonts w:hint="eastAsia"/>
          <w:sz w:val="24"/>
          <w:highlight w:val="none"/>
        </w:rPr>
        <w:t>7.2投标技术文件中主要勘察（试验）方法以及勘察（试验）设备的配置应具有针对性和实际指导价值。</w:t>
      </w:r>
    </w:p>
    <w:p>
      <w:pPr>
        <w:spacing w:beforeLines="30" w:afterLines="30" w:line="360" w:lineRule="auto"/>
        <w:ind w:firstLine="435"/>
        <w:rPr>
          <w:rFonts w:ascii="宋体" w:hAnsi="宋体"/>
          <w:sz w:val="24"/>
          <w:highlight w:val="none"/>
        </w:rPr>
      </w:pPr>
      <w:r>
        <w:rPr>
          <w:rFonts w:hint="eastAsia"/>
          <w:sz w:val="24"/>
          <w:highlight w:val="none"/>
        </w:rPr>
        <w:t>7.3</w:t>
      </w:r>
      <w:r>
        <w:rPr>
          <w:rFonts w:hint="eastAsia" w:ascii="宋体" w:hAnsi="宋体"/>
          <w:sz w:val="24"/>
          <w:highlight w:val="none"/>
        </w:rPr>
        <w:t>勘探建筑物位置情况请见总图。</w:t>
      </w:r>
    </w:p>
    <w:p>
      <w:pPr>
        <w:spacing w:beforeLines="30" w:afterLines="30" w:line="360" w:lineRule="auto"/>
        <w:ind w:firstLine="435"/>
        <w:rPr>
          <w:sz w:val="24"/>
          <w:highlight w:val="none"/>
        </w:rPr>
      </w:pPr>
      <w:r>
        <w:rPr>
          <w:rFonts w:hint="eastAsia" w:ascii="宋体" w:hAnsi="宋体"/>
          <w:sz w:val="24"/>
          <w:highlight w:val="none"/>
        </w:rPr>
        <w:t>7.4</w:t>
      </w:r>
      <w:r>
        <w:rPr>
          <w:rFonts w:hint="eastAsia"/>
          <w:bCs/>
          <w:sz w:val="24"/>
          <w:highlight w:val="none"/>
        </w:rPr>
        <w:t>拟建建筑物的安全等级为二级。</w:t>
      </w:r>
    </w:p>
    <w:p>
      <w:pPr>
        <w:spacing w:beforeLines="30" w:afterLines="30" w:line="360" w:lineRule="auto"/>
        <w:ind w:firstLine="435"/>
        <w:rPr>
          <w:rFonts w:ascii="宋体" w:hAnsi="宋体"/>
          <w:sz w:val="24"/>
          <w:highlight w:val="none"/>
        </w:rPr>
      </w:pPr>
      <w:r>
        <w:rPr>
          <w:rFonts w:hint="eastAsia"/>
          <w:sz w:val="24"/>
          <w:highlight w:val="none"/>
        </w:rPr>
        <w:t>7.5本勘察任务书未尽事宜，遵照国家、行业及地方现行相关标准规范的相关规定。</w:t>
      </w:r>
    </w:p>
    <w:p>
      <w:pPr>
        <w:spacing w:line="360" w:lineRule="auto"/>
        <w:rPr>
          <w:b/>
          <w:bCs/>
          <w:kern w:val="44"/>
          <w:sz w:val="32"/>
          <w:szCs w:val="32"/>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default" w:eastAsia="宋体"/>
          <w:highlight w:val="none"/>
          <w:lang w:val="en-US" w:eastAsia="zh-CN"/>
        </w:rPr>
      </w:pPr>
    </w:p>
    <w:sectPr>
      <w:headerReference r:id="rId3" w:type="default"/>
      <w:footerReference r:id="rId4"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97</w:t>
                          </w:r>
                          <w:r>
                            <w:rPr>
                              <w:rFonts w:hint="eastAsia"/>
                              <w:lang w:eastAsia="zh-CN"/>
                            </w:rPr>
                            <w:fldChar w:fldCharType="end"/>
                          </w:r>
                          <w:r>
                            <w:rPr>
                              <w:rFonts w:hint="eastAsia"/>
                              <w:lang w:eastAsia="zh-CN"/>
                            </w:rPr>
                            <w:t xml:space="preserve"> 页</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13"/>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97</w:t>
                    </w:r>
                    <w:r>
                      <w:rPr>
                        <w:rFonts w:hint="eastAsia"/>
                        <w:lang w:eastAsia="zh-CN"/>
                      </w:rPr>
                      <w:fldChar w:fldCharType="end"/>
                    </w:r>
                    <w:r>
                      <w:rPr>
                        <w:rFonts w:hint="eastAsia"/>
                        <w:lang w:eastAsia="zh-CN"/>
                      </w:rPr>
                      <w:t xml:space="preserve"> 页</w:t>
                    </w:r>
                  </w:p>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A4E0"/>
    <w:multiLevelType w:val="singleLevel"/>
    <w:tmpl w:val="5482A4E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jg2ZjI5NjQ5YjhmNWQwODlkOWEyMzM5YzA2MmIifQ=="/>
  </w:docVars>
  <w:rsids>
    <w:rsidRoot w:val="00DC4AE5"/>
    <w:rsid w:val="00003050"/>
    <w:rsid w:val="0002779E"/>
    <w:rsid w:val="000355A7"/>
    <w:rsid w:val="00047589"/>
    <w:rsid w:val="00055AAF"/>
    <w:rsid w:val="00063249"/>
    <w:rsid w:val="00064F1F"/>
    <w:rsid w:val="00065F38"/>
    <w:rsid w:val="000829B8"/>
    <w:rsid w:val="000A4356"/>
    <w:rsid w:val="000A649C"/>
    <w:rsid w:val="000B0208"/>
    <w:rsid w:val="000B091E"/>
    <w:rsid w:val="000B4A22"/>
    <w:rsid w:val="000B6BC6"/>
    <w:rsid w:val="000C1832"/>
    <w:rsid w:val="000C3C18"/>
    <w:rsid w:val="000C5BA7"/>
    <w:rsid w:val="000C75FB"/>
    <w:rsid w:val="000C7CC8"/>
    <w:rsid w:val="000D3D3C"/>
    <w:rsid w:val="000E044D"/>
    <w:rsid w:val="000E424E"/>
    <w:rsid w:val="000F1917"/>
    <w:rsid w:val="000F6339"/>
    <w:rsid w:val="00100213"/>
    <w:rsid w:val="00104407"/>
    <w:rsid w:val="00105ADB"/>
    <w:rsid w:val="0011051A"/>
    <w:rsid w:val="001131EC"/>
    <w:rsid w:val="001153E5"/>
    <w:rsid w:val="00123E0A"/>
    <w:rsid w:val="00146E96"/>
    <w:rsid w:val="00152747"/>
    <w:rsid w:val="0015442F"/>
    <w:rsid w:val="0015540C"/>
    <w:rsid w:val="00161B3C"/>
    <w:rsid w:val="001632F8"/>
    <w:rsid w:val="0018156D"/>
    <w:rsid w:val="001846D3"/>
    <w:rsid w:val="00186D3D"/>
    <w:rsid w:val="00196567"/>
    <w:rsid w:val="001A4127"/>
    <w:rsid w:val="001B2ED5"/>
    <w:rsid w:val="001C1717"/>
    <w:rsid w:val="001C1BC6"/>
    <w:rsid w:val="001E1CB0"/>
    <w:rsid w:val="001E5F1B"/>
    <w:rsid w:val="001E72AD"/>
    <w:rsid w:val="001F2615"/>
    <w:rsid w:val="00201DF2"/>
    <w:rsid w:val="002043E2"/>
    <w:rsid w:val="00204EB6"/>
    <w:rsid w:val="00216699"/>
    <w:rsid w:val="002227FD"/>
    <w:rsid w:val="002237FD"/>
    <w:rsid w:val="00234955"/>
    <w:rsid w:val="002414DB"/>
    <w:rsid w:val="0024236C"/>
    <w:rsid w:val="00242430"/>
    <w:rsid w:val="002428B5"/>
    <w:rsid w:val="00243FCE"/>
    <w:rsid w:val="002466FA"/>
    <w:rsid w:val="00253760"/>
    <w:rsid w:val="00253A62"/>
    <w:rsid w:val="00254A12"/>
    <w:rsid w:val="0025543F"/>
    <w:rsid w:val="002639FF"/>
    <w:rsid w:val="002823D0"/>
    <w:rsid w:val="002964D5"/>
    <w:rsid w:val="002965F0"/>
    <w:rsid w:val="00296E94"/>
    <w:rsid w:val="002A4B06"/>
    <w:rsid w:val="002B2BBE"/>
    <w:rsid w:val="002D26BA"/>
    <w:rsid w:val="002D5E68"/>
    <w:rsid w:val="002D67A7"/>
    <w:rsid w:val="002F0A91"/>
    <w:rsid w:val="002F67B3"/>
    <w:rsid w:val="0031789D"/>
    <w:rsid w:val="00324259"/>
    <w:rsid w:val="003242DA"/>
    <w:rsid w:val="00325354"/>
    <w:rsid w:val="00325D7D"/>
    <w:rsid w:val="00333460"/>
    <w:rsid w:val="003615DB"/>
    <w:rsid w:val="0036517C"/>
    <w:rsid w:val="00374289"/>
    <w:rsid w:val="003839B7"/>
    <w:rsid w:val="00384858"/>
    <w:rsid w:val="00384942"/>
    <w:rsid w:val="0039282F"/>
    <w:rsid w:val="00396FD4"/>
    <w:rsid w:val="003A2FBF"/>
    <w:rsid w:val="003B26C9"/>
    <w:rsid w:val="003C4CFD"/>
    <w:rsid w:val="003C6437"/>
    <w:rsid w:val="003D1535"/>
    <w:rsid w:val="003D64E1"/>
    <w:rsid w:val="003E0343"/>
    <w:rsid w:val="003E13BA"/>
    <w:rsid w:val="003E20DB"/>
    <w:rsid w:val="003E3349"/>
    <w:rsid w:val="003E352F"/>
    <w:rsid w:val="003F19A8"/>
    <w:rsid w:val="004109CE"/>
    <w:rsid w:val="004128C1"/>
    <w:rsid w:val="004153DB"/>
    <w:rsid w:val="004178D7"/>
    <w:rsid w:val="0042028E"/>
    <w:rsid w:val="004229BF"/>
    <w:rsid w:val="00426888"/>
    <w:rsid w:val="00435188"/>
    <w:rsid w:val="0043734B"/>
    <w:rsid w:val="004418DA"/>
    <w:rsid w:val="00463029"/>
    <w:rsid w:val="004676D9"/>
    <w:rsid w:val="00493145"/>
    <w:rsid w:val="004A735A"/>
    <w:rsid w:val="004D3EEE"/>
    <w:rsid w:val="004D6733"/>
    <w:rsid w:val="004F7FEF"/>
    <w:rsid w:val="00500878"/>
    <w:rsid w:val="0050677B"/>
    <w:rsid w:val="00512EFD"/>
    <w:rsid w:val="00513BB5"/>
    <w:rsid w:val="00523F4D"/>
    <w:rsid w:val="005368FA"/>
    <w:rsid w:val="00550E49"/>
    <w:rsid w:val="005557A4"/>
    <w:rsid w:val="0056115C"/>
    <w:rsid w:val="0056134A"/>
    <w:rsid w:val="00574DEE"/>
    <w:rsid w:val="00584C7D"/>
    <w:rsid w:val="0059118A"/>
    <w:rsid w:val="005A1292"/>
    <w:rsid w:val="005A1AA9"/>
    <w:rsid w:val="005A3EA3"/>
    <w:rsid w:val="005A60AB"/>
    <w:rsid w:val="005B55E4"/>
    <w:rsid w:val="005B74B8"/>
    <w:rsid w:val="005B7D13"/>
    <w:rsid w:val="005B7EB9"/>
    <w:rsid w:val="005C007C"/>
    <w:rsid w:val="005C10D0"/>
    <w:rsid w:val="005C3714"/>
    <w:rsid w:val="005C3C37"/>
    <w:rsid w:val="005C400E"/>
    <w:rsid w:val="005C4527"/>
    <w:rsid w:val="005D48D4"/>
    <w:rsid w:val="005D5BC7"/>
    <w:rsid w:val="005D72E2"/>
    <w:rsid w:val="005E082A"/>
    <w:rsid w:val="005E5281"/>
    <w:rsid w:val="005E687B"/>
    <w:rsid w:val="005F4336"/>
    <w:rsid w:val="006131A0"/>
    <w:rsid w:val="00621AC3"/>
    <w:rsid w:val="00621C9E"/>
    <w:rsid w:val="00625C24"/>
    <w:rsid w:val="00627AD2"/>
    <w:rsid w:val="0063169D"/>
    <w:rsid w:val="00645082"/>
    <w:rsid w:val="00645E3A"/>
    <w:rsid w:val="00650EC8"/>
    <w:rsid w:val="00652D69"/>
    <w:rsid w:val="006618AF"/>
    <w:rsid w:val="00680BC5"/>
    <w:rsid w:val="00691750"/>
    <w:rsid w:val="006933D9"/>
    <w:rsid w:val="00695116"/>
    <w:rsid w:val="006A1D9A"/>
    <w:rsid w:val="006A2007"/>
    <w:rsid w:val="006B2FEA"/>
    <w:rsid w:val="006C2009"/>
    <w:rsid w:val="006C52ED"/>
    <w:rsid w:val="006C676D"/>
    <w:rsid w:val="006D3FF7"/>
    <w:rsid w:val="006E0FDB"/>
    <w:rsid w:val="006E610C"/>
    <w:rsid w:val="006F46AF"/>
    <w:rsid w:val="006F6DAD"/>
    <w:rsid w:val="00701CEC"/>
    <w:rsid w:val="0070784E"/>
    <w:rsid w:val="007138AD"/>
    <w:rsid w:val="00723114"/>
    <w:rsid w:val="00737BF9"/>
    <w:rsid w:val="00743FB3"/>
    <w:rsid w:val="00751E8C"/>
    <w:rsid w:val="00753923"/>
    <w:rsid w:val="00755816"/>
    <w:rsid w:val="00756D13"/>
    <w:rsid w:val="00767BB3"/>
    <w:rsid w:val="00767EF8"/>
    <w:rsid w:val="0077770A"/>
    <w:rsid w:val="00780D1D"/>
    <w:rsid w:val="00790A14"/>
    <w:rsid w:val="007B656A"/>
    <w:rsid w:val="007C04EE"/>
    <w:rsid w:val="007C2FFD"/>
    <w:rsid w:val="007C6630"/>
    <w:rsid w:val="007C773E"/>
    <w:rsid w:val="007D5E4F"/>
    <w:rsid w:val="007E0171"/>
    <w:rsid w:val="007E50B6"/>
    <w:rsid w:val="007F0E32"/>
    <w:rsid w:val="007F1A33"/>
    <w:rsid w:val="007F38FD"/>
    <w:rsid w:val="0080226B"/>
    <w:rsid w:val="00807C67"/>
    <w:rsid w:val="00810CAC"/>
    <w:rsid w:val="00810FE7"/>
    <w:rsid w:val="008213B1"/>
    <w:rsid w:val="0082735F"/>
    <w:rsid w:val="00830976"/>
    <w:rsid w:val="00836A22"/>
    <w:rsid w:val="008472B5"/>
    <w:rsid w:val="008472D1"/>
    <w:rsid w:val="00852416"/>
    <w:rsid w:val="008559E3"/>
    <w:rsid w:val="00857341"/>
    <w:rsid w:val="00857D4C"/>
    <w:rsid w:val="00861BE4"/>
    <w:rsid w:val="00867FA2"/>
    <w:rsid w:val="008702D9"/>
    <w:rsid w:val="008734FC"/>
    <w:rsid w:val="008740D9"/>
    <w:rsid w:val="00880FB7"/>
    <w:rsid w:val="00881F12"/>
    <w:rsid w:val="00886ECA"/>
    <w:rsid w:val="00892F3E"/>
    <w:rsid w:val="00897724"/>
    <w:rsid w:val="008A2965"/>
    <w:rsid w:val="008A682D"/>
    <w:rsid w:val="008A6CF7"/>
    <w:rsid w:val="008B4226"/>
    <w:rsid w:val="008B7CFD"/>
    <w:rsid w:val="008C1BC2"/>
    <w:rsid w:val="008C1F18"/>
    <w:rsid w:val="008C25B6"/>
    <w:rsid w:val="008C286B"/>
    <w:rsid w:val="008C5BE2"/>
    <w:rsid w:val="008D799D"/>
    <w:rsid w:val="008E6489"/>
    <w:rsid w:val="008E73F8"/>
    <w:rsid w:val="0090064F"/>
    <w:rsid w:val="00903986"/>
    <w:rsid w:val="00905DDF"/>
    <w:rsid w:val="00927E47"/>
    <w:rsid w:val="009367E4"/>
    <w:rsid w:val="00941AF7"/>
    <w:rsid w:val="00955464"/>
    <w:rsid w:val="00963A3F"/>
    <w:rsid w:val="00967090"/>
    <w:rsid w:val="00970777"/>
    <w:rsid w:val="00970D57"/>
    <w:rsid w:val="009771D9"/>
    <w:rsid w:val="009B1DFD"/>
    <w:rsid w:val="009B204F"/>
    <w:rsid w:val="009B283A"/>
    <w:rsid w:val="009B4540"/>
    <w:rsid w:val="009B7DCD"/>
    <w:rsid w:val="009C2BD4"/>
    <w:rsid w:val="009C2E0A"/>
    <w:rsid w:val="009D34A4"/>
    <w:rsid w:val="009D6901"/>
    <w:rsid w:val="009E235B"/>
    <w:rsid w:val="009E34D4"/>
    <w:rsid w:val="009F20F4"/>
    <w:rsid w:val="009F4DEF"/>
    <w:rsid w:val="00A04971"/>
    <w:rsid w:val="00A0674F"/>
    <w:rsid w:val="00A135BA"/>
    <w:rsid w:val="00A20847"/>
    <w:rsid w:val="00A20971"/>
    <w:rsid w:val="00A22234"/>
    <w:rsid w:val="00A22917"/>
    <w:rsid w:val="00A2446F"/>
    <w:rsid w:val="00A256D4"/>
    <w:rsid w:val="00A25BF3"/>
    <w:rsid w:val="00A31AEF"/>
    <w:rsid w:val="00A414CE"/>
    <w:rsid w:val="00A44C28"/>
    <w:rsid w:val="00A455A9"/>
    <w:rsid w:val="00A51EA8"/>
    <w:rsid w:val="00A57B62"/>
    <w:rsid w:val="00A64D1E"/>
    <w:rsid w:val="00A65EC9"/>
    <w:rsid w:val="00A7235A"/>
    <w:rsid w:val="00A77A99"/>
    <w:rsid w:val="00A80DC5"/>
    <w:rsid w:val="00A8568C"/>
    <w:rsid w:val="00A916D9"/>
    <w:rsid w:val="00A975AF"/>
    <w:rsid w:val="00AB2A80"/>
    <w:rsid w:val="00AC098B"/>
    <w:rsid w:val="00AC44E1"/>
    <w:rsid w:val="00AD0D9B"/>
    <w:rsid w:val="00AD1517"/>
    <w:rsid w:val="00AD1EEC"/>
    <w:rsid w:val="00AD4269"/>
    <w:rsid w:val="00AD79DC"/>
    <w:rsid w:val="00AF2440"/>
    <w:rsid w:val="00B2446F"/>
    <w:rsid w:val="00B31D94"/>
    <w:rsid w:val="00B3478E"/>
    <w:rsid w:val="00B34F10"/>
    <w:rsid w:val="00B42E1A"/>
    <w:rsid w:val="00B44A12"/>
    <w:rsid w:val="00B46F3D"/>
    <w:rsid w:val="00B50BDA"/>
    <w:rsid w:val="00B5292B"/>
    <w:rsid w:val="00B62A2A"/>
    <w:rsid w:val="00B70065"/>
    <w:rsid w:val="00B73076"/>
    <w:rsid w:val="00B7379E"/>
    <w:rsid w:val="00B82754"/>
    <w:rsid w:val="00B8657F"/>
    <w:rsid w:val="00B90F9A"/>
    <w:rsid w:val="00B911D0"/>
    <w:rsid w:val="00BA5307"/>
    <w:rsid w:val="00BA5562"/>
    <w:rsid w:val="00BB1C84"/>
    <w:rsid w:val="00BB2DDF"/>
    <w:rsid w:val="00BB6A8F"/>
    <w:rsid w:val="00BC2491"/>
    <w:rsid w:val="00BC4A59"/>
    <w:rsid w:val="00BD4BD9"/>
    <w:rsid w:val="00BD6235"/>
    <w:rsid w:val="00C002AE"/>
    <w:rsid w:val="00C06041"/>
    <w:rsid w:val="00C11BD5"/>
    <w:rsid w:val="00C2739F"/>
    <w:rsid w:val="00C32D80"/>
    <w:rsid w:val="00C42A78"/>
    <w:rsid w:val="00C51778"/>
    <w:rsid w:val="00C54AC8"/>
    <w:rsid w:val="00C600E7"/>
    <w:rsid w:val="00C6466D"/>
    <w:rsid w:val="00C76F64"/>
    <w:rsid w:val="00C976F0"/>
    <w:rsid w:val="00CA00A2"/>
    <w:rsid w:val="00CB7901"/>
    <w:rsid w:val="00CD507D"/>
    <w:rsid w:val="00CE1386"/>
    <w:rsid w:val="00D045DB"/>
    <w:rsid w:val="00D054B9"/>
    <w:rsid w:val="00D17842"/>
    <w:rsid w:val="00D20AA7"/>
    <w:rsid w:val="00D36102"/>
    <w:rsid w:val="00D41F84"/>
    <w:rsid w:val="00D4208F"/>
    <w:rsid w:val="00D44202"/>
    <w:rsid w:val="00D468B7"/>
    <w:rsid w:val="00D469B3"/>
    <w:rsid w:val="00D55634"/>
    <w:rsid w:val="00D61061"/>
    <w:rsid w:val="00D726CB"/>
    <w:rsid w:val="00D75EB1"/>
    <w:rsid w:val="00D7654D"/>
    <w:rsid w:val="00D814C6"/>
    <w:rsid w:val="00D90D0E"/>
    <w:rsid w:val="00DB3649"/>
    <w:rsid w:val="00DB7BE5"/>
    <w:rsid w:val="00DC4539"/>
    <w:rsid w:val="00DC4AE5"/>
    <w:rsid w:val="00DC6DD4"/>
    <w:rsid w:val="00DD11BE"/>
    <w:rsid w:val="00DD2A7A"/>
    <w:rsid w:val="00DD4897"/>
    <w:rsid w:val="00DD52DD"/>
    <w:rsid w:val="00DD65D8"/>
    <w:rsid w:val="00DE16D2"/>
    <w:rsid w:val="00DE4590"/>
    <w:rsid w:val="00E03289"/>
    <w:rsid w:val="00E03A16"/>
    <w:rsid w:val="00E14089"/>
    <w:rsid w:val="00E273A0"/>
    <w:rsid w:val="00E47104"/>
    <w:rsid w:val="00E71444"/>
    <w:rsid w:val="00E728F9"/>
    <w:rsid w:val="00E82485"/>
    <w:rsid w:val="00E83A52"/>
    <w:rsid w:val="00E84165"/>
    <w:rsid w:val="00EA0B6D"/>
    <w:rsid w:val="00EA22F6"/>
    <w:rsid w:val="00EB0741"/>
    <w:rsid w:val="00EB3D35"/>
    <w:rsid w:val="00EB7E92"/>
    <w:rsid w:val="00EC23AB"/>
    <w:rsid w:val="00EC2727"/>
    <w:rsid w:val="00EE4041"/>
    <w:rsid w:val="00F00ABD"/>
    <w:rsid w:val="00F06BC1"/>
    <w:rsid w:val="00F15089"/>
    <w:rsid w:val="00F236E9"/>
    <w:rsid w:val="00F26C9C"/>
    <w:rsid w:val="00F40906"/>
    <w:rsid w:val="00F45586"/>
    <w:rsid w:val="00F521E1"/>
    <w:rsid w:val="00F567FA"/>
    <w:rsid w:val="00F61C39"/>
    <w:rsid w:val="00F64B1B"/>
    <w:rsid w:val="00F72588"/>
    <w:rsid w:val="00F77590"/>
    <w:rsid w:val="00F80A8C"/>
    <w:rsid w:val="00F83FE7"/>
    <w:rsid w:val="00FB1DBD"/>
    <w:rsid w:val="00FD68B0"/>
    <w:rsid w:val="00FD7359"/>
    <w:rsid w:val="00FE56B9"/>
    <w:rsid w:val="00FE5A4E"/>
    <w:rsid w:val="00FF327D"/>
    <w:rsid w:val="01896811"/>
    <w:rsid w:val="020B50B2"/>
    <w:rsid w:val="05423E95"/>
    <w:rsid w:val="054F783A"/>
    <w:rsid w:val="05D45DC9"/>
    <w:rsid w:val="064C3180"/>
    <w:rsid w:val="067B2A5B"/>
    <w:rsid w:val="06A4021B"/>
    <w:rsid w:val="06D7651E"/>
    <w:rsid w:val="08CB1F59"/>
    <w:rsid w:val="095F18A6"/>
    <w:rsid w:val="098A09AF"/>
    <w:rsid w:val="0A3960E0"/>
    <w:rsid w:val="0B1013FF"/>
    <w:rsid w:val="0B3A5B80"/>
    <w:rsid w:val="0C4F57B6"/>
    <w:rsid w:val="0C7614F0"/>
    <w:rsid w:val="0E99786C"/>
    <w:rsid w:val="0ED24FB0"/>
    <w:rsid w:val="117A50CD"/>
    <w:rsid w:val="11844488"/>
    <w:rsid w:val="119A50FB"/>
    <w:rsid w:val="12202CA9"/>
    <w:rsid w:val="14B86C8C"/>
    <w:rsid w:val="14E67423"/>
    <w:rsid w:val="157F6D3F"/>
    <w:rsid w:val="15AE1730"/>
    <w:rsid w:val="16034268"/>
    <w:rsid w:val="18E80A4A"/>
    <w:rsid w:val="19223FEF"/>
    <w:rsid w:val="193C1E3E"/>
    <w:rsid w:val="1A95605C"/>
    <w:rsid w:val="1C1D4EF2"/>
    <w:rsid w:val="1CE53CB3"/>
    <w:rsid w:val="1CF95620"/>
    <w:rsid w:val="1F310D9C"/>
    <w:rsid w:val="216B5FFB"/>
    <w:rsid w:val="21F809B9"/>
    <w:rsid w:val="22E66846"/>
    <w:rsid w:val="236A3095"/>
    <w:rsid w:val="239872FC"/>
    <w:rsid w:val="23DE6D1A"/>
    <w:rsid w:val="256562EC"/>
    <w:rsid w:val="263840C6"/>
    <w:rsid w:val="26A67592"/>
    <w:rsid w:val="29455D16"/>
    <w:rsid w:val="29DF7623"/>
    <w:rsid w:val="2A321C18"/>
    <w:rsid w:val="2AE632C3"/>
    <w:rsid w:val="2B22566F"/>
    <w:rsid w:val="2C474B7D"/>
    <w:rsid w:val="2D8F5A50"/>
    <w:rsid w:val="2DB150B6"/>
    <w:rsid w:val="309D3973"/>
    <w:rsid w:val="30C67304"/>
    <w:rsid w:val="31552C02"/>
    <w:rsid w:val="31AC761A"/>
    <w:rsid w:val="32127FB3"/>
    <w:rsid w:val="335C66DA"/>
    <w:rsid w:val="33A342A9"/>
    <w:rsid w:val="33A44391"/>
    <w:rsid w:val="34EA5D48"/>
    <w:rsid w:val="35030C9C"/>
    <w:rsid w:val="35A7239C"/>
    <w:rsid w:val="363069AC"/>
    <w:rsid w:val="37187064"/>
    <w:rsid w:val="39E635B9"/>
    <w:rsid w:val="3B303F65"/>
    <w:rsid w:val="3BD9491B"/>
    <w:rsid w:val="3D177F60"/>
    <w:rsid w:val="3D1B52EE"/>
    <w:rsid w:val="3D965F7D"/>
    <w:rsid w:val="3E150B0B"/>
    <w:rsid w:val="3E3563F3"/>
    <w:rsid w:val="3E4D1237"/>
    <w:rsid w:val="40B40B41"/>
    <w:rsid w:val="42004812"/>
    <w:rsid w:val="421C5C62"/>
    <w:rsid w:val="437D1D80"/>
    <w:rsid w:val="438A2161"/>
    <w:rsid w:val="44CD2BD5"/>
    <w:rsid w:val="44FA19ED"/>
    <w:rsid w:val="454D6054"/>
    <w:rsid w:val="462C195C"/>
    <w:rsid w:val="46BE3B4B"/>
    <w:rsid w:val="48D468CA"/>
    <w:rsid w:val="497F2AD2"/>
    <w:rsid w:val="49892584"/>
    <w:rsid w:val="49D37894"/>
    <w:rsid w:val="4ADF590D"/>
    <w:rsid w:val="4B474DAF"/>
    <w:rsid w:val="4E3A77A1"/>
    <w:rsid w:val="4EB25D56"/>
    <w:rsid w:val="4FD70727"/>
    <w:rsid w:val="508B77B5"/>
    <w:rsid w:val="50C25E26"/>
    <w:rsid w:val="50D14BB5"/>
    <w:rsid w:val="51371C3F"/>
    <w:rsid w:val="514D6D4F"/>
    <w:rsid w:val="515029C1"/>
    <w:rsid w:val="53791642"/>
    <w:rsid w:val="537A201C"/>
    <w:rsid w:val="5385213F"/>
    <w:rsid w:val="543B2D47"/>
    <w:rsid w:val="550F7D93"/>
    <w:rsid w:val="5568175F"/>
    <w:rsid w:val="55DA3A2E"/>
    <w:rsid w:val="56F36DF4"/>
    <w:rsid w:val="57A66730"/>
    <w:rsid w:val="57A7218B"/>
    <w:rsid w:val="57CB544E"/>
    <w:rsid w:val="589F39F6"/>
    <w:rsid w:val="58E82BB3"/>
    <w:rsid w:val="59685550"/>
    <w:rsid w:val="5BB7169D"/>
    <w:rsid w:val="5C310AEB"/>
    <w:rsid w:val="5CE17996"/>
    <w:rsid w:val="5E512226"/>
    <w:rsid w:val="5FB5419C"/>
    <w:rsid w:val="608F7A73"/>
    <w:rsid w:val="60A64621"/>
    <w:rsid w:val="619E3E0E"/>
    <w:rsid w:val="61A80F2A"/>
    <w:rsid w:val="61B54EBE"/>
    <w:rsid w:val="63CC4816"/>
    <w:rsid w:val="63DB0B77"/>
    <w:rsid w:val="66604650"/>
    <w:rsid w:val="66707909"/>
    <w:rsid w:val="66A12057"/>
    <w:rsid w:val="66F10A4A"/>
    <w:rsid w:val="67274411"/>
    <w:rsid w:val="67412FE8"/>
    <w:rsid w:val="683A026B"/>
    <w:rsid w:val="686750BD"/>
    <w:rsid w:val="68C94EA2"/>
    <w:rsid w:val="68D73C8C"/>
    <w:rsid w:val="69D03D27"/>
    <w:rsid w:val="69EF77FF"/>
    <w:rsid w:val="6A037E28"/>
    <w:rsid w:val="6A54271E"/>
    <w:rsid w:val="6A6C1F41"/>
    <w:rsid w:val="6ABB7800"/>
    <w:rsid w:val="6D921837"/>
    <w:rsid w:val="6DB74349"/>
    <w:rsid w:val="6E522CAD"/>
    <w:rsid w:val="6ED26E27"/>
    <w:rsid w:val="71033134"/>
    <w:rsid w:val="719061AC"/>
    <w:rsid w:val="71DA3E93"/>
    <w:rsid w:val="71FE4A3D"/>
    <w:rsid w:val="72125A6E"/>
    <w:rsid w:val="7281405B"/>
    <w:rsid w:val="72AE3C93"/>
    <w:rsid w:val="73856327"/>
    <w:rsid w:val="74935420"/>
    <w:rsid w:val="756A4553"/>
    <w:rsid w:val="75C616EE"/>
    <w:rsid w:val="76051E1C"/>
    <w:rsid w:val="76E74030"/>
    <w:rsid w:val="79CE1216"/>
    <w:rsid w:val="7A1A435F"/>
    <w:rsid w:val="7B1F6027"/>
    <w:rsid w:val="7BF56B97"/>
    <w:rsid w:val="7C0362E3"/>
    <w:rsid w:val="7E9C3E97"/>
    <w:rsid w:val="7EE75693"/>
    <w:rsid w:val="7F4F3A0B"/>
    <w:rsid w:val="7F9E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360" w:lineRule="auto"/>
      <w:outlineLvl w:val="0"/>
    </w:pPr>
    <w:rPr>
      <w:b/>
      <w:bCs/>
      <w:kern w:val="44"/>
      <w:sz w:val="32"/>
      <w:szCs w:val="44"/>
    </w:rPr>
  </w:style>
  <w:style w:type="paragraph" w:styleId="4">
    <w:name w:val="heading 2"/>
    <w:basedOn w:val="1"/>
    <w:next w:val="1"/>
    <w:link w:val="4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link w:val="32"/>
    <w:qFormat/>
    <w:uiPriority w:val="0"/>
    <w:pPr>
      <w:keepNext/>
      <w:keepLines/>
      <w:spacing w:line="360" w:lineRule="auto"/>
      <w:outlineLvl w:val="2"/>
    </w:pPr>
    <w:rPr>
      <w:b/>
      <w:bCs/>
      <w:sz w:val="24"/>
      <w:szCs w:val="32"/>
    </w:rPr>
  </w:style>
  <w:style w:type="paragraph" w:styleId="6">
    <w:name w:val="heading 4"/>
    <w:basedOn w:val="1"/>
    <w:next w:val="1"/>
    <w:link w:val="28"/>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link w:val="27"/>
    <w:qFormat/>
    <w:uiPriority w:val="99"/>
    <w:pPr>
      <w:jc w:val="left"/>
    </w:pPr>
  </w:style>
  <w:style w:type="paragraph" w:styleId="8">
    <w:name w:val="Body Text 3"/>
    <w:basedOn w:val="1"/>
    <w:qFormat/>
    <w:uiPriority w:val="0"/>
    <w:rPr>
      <w:rFonts w:ascii="宋体"/>
      <w:sz w:val="24"/>
      <w:szCs w:val="20"/>
    </w:rPr>
  </w:style>
  <w:style w:type="paragraph" w:styleId="9">
    <w:name w:val="toc 3"/>
    <w:basedOn w:val="1"/>
    <w:next w:val="1"/>
    <w:qFormat/>
    <w:uiPriority w:val="39"/>
    <w:pPr>
      <w:ind w:left="840" w:leftChars="400"/>
    </w:pPr>
  </w:style>
  <w:style w:type="paragraph" w:styleId="10">
    <w:name w:val="Plain Text"/>
    <w:basedOn w:val="1"/>
    <w:link w:val="25"/>
    <w:qFormat/>
    <w:uiPriority w:val="0"/>
    <w:rPr>
      <w:rFonts w:ascii="宋体" w:hAnsi="Courier New"/>
      <w:szCs w:val="20"/>
    </w:rPr>
  </w:style>
  <w:style w:type="paragraph" w:styleId="11">
    <w:name w:val="Date"/>
    <w:basedOn w:val="1"/>
    <w:next w:val="1"/>
    <w:link w:val="29"/>
    <w:qFormat/>
    <w:uiPriority w:val="0"/>
    <w:rPr>
      <w:sz w:val="24"/>
      <w:szCs w:val="20"/>
    </w:rPr>
  </w:style>
  <w:style w:type="paragraph" w:styleId="12">
    <w:name w:val="Balloon Text"/>
    <w:basedOn w:val="1"/>
    <w:link w:val="34"/>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0"/>
    <w:pPr>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26"/>
    <w:qFormat/>
    <w:uiPriority w:val="0"/>
    <w:rPr>
      <w:b/>
      <w:bCs/>
    </w:rPr>
  </w:style>
  <w:style w:type="character" w:styleId="21">
    <w:name w:val="Strong"/>
    <w:basedOn w:val="20"/>
    <w:qFormat/>
    <w:uiPriority w:val="22"/>
    <w:rPr>
      <w:b/>
      <w:bCs/>
    </w:rPr>
  </w:style>
  <w:style w:type="character" w:styleId="22">
    <w:name w:val="page number"/>
    <w:basedOn w:val="20"/>
    <w:qFormat/>
    <w:uiPriority w:val="0"/>
    <w:rPr>
      <w:szCs w:val="20"/>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纯文本 Char"/>
    <w:link w:val="10"/>
    <w:qFormat/>
    <w:uiPriority w:val="0"/>
    <w:rPr>
      <w:rFonts w:ascii="宋体" w:hAnsi="Courier New"/>
      <w:kern w:val="2"/>
      <w:sz w:val="21"/>
    </w:rPr>
  </w:style>
  <w:style w:type="character" w:customStyle="1" w:styleId="26">
    <w:name w:val="批注主题 Char"/>
    <w:link w:val="18"/>
    <w:qFormat/>
    <w:uiPriority w:val="0"/>
    <w:rPr>
      <w:b/>
      <w:bCs/>
      <w:kern w:val="2"/>
      <w:sz w:val="21"/>
      <w:szCs w:val="24"/>
    </w:rPr>
  </w:style>
  <w:style w:type="character" w:customStyle="1" w:styleId="27">
    <w:name w:val="批注文字 Char"/>
    <w:link w:val="7"/>
    <w:qFormat/>
    <w:uiPriority w:val="99"/>
    <w:rPr>
      <w:kern w:val="2"/>
      <w:sz w:val="21"/>
      <w:szCs w:val="24"/>
    </w:rPr>
  </w:style>
  <w:style w:type="character" w:customStyle="1" w:styleId="28">
    <w:name w:val="标题 4 Char"/>
    <w:link w:val="6"/>
    <w:qFormat/>
    <w:uiPriority w:val="0"/>
    <w:rPr>
      <w:rFonts w:ascii="Arial" w:hAnsi="Arial"/>
      <w:b/>
      <w:bCs/>
      <w:kern w:val="2"/>
      <w:sz w:val="21"/>
      <w:szCs w:val="28"/>
    </w:rPr>
  </w:style>
  <w:style w:type="character" w:customStyle="1" w:styleId="29">
    <w:name w:val="日期 Char"/>
    <w:link w:val="11"/>
    <w:qFormat/>
    <w:uiPriority w:val="0"/>
    <w:rPr>
      <w:kern w:val="2"/>
      <w:sz w:val="24"/>
    </w:rPr>
  </w:style>
  <w:style w:type="character" w:customStyle="1" w:styleId="30">
    <w:name w:val="页脚 Char"/>
    <w:link w:val="13"/>
    <w:qFormat/>
    <w:uiPriority w:val="0"/>
    <w:rPr>
      <w:kern w:val="2"/>
      <w:sz w:val="18"/>
      <w:szCs w:val="18"/>
    </w:rPr>
  </w:style>
  <w:style w:type="character" w:customStyle="1" w:styleId="31">
    <w:name w:val="标题 1 Char"/>
    <w:link w:val="3"/>
    <w:qFormat/>
    <w:uiPriority w:val="0"/>
    <w:rPr>
      <w:b/>
      <w:bCs/>
      <w:kern w:val="44"/>
      <w:sz w:val="32"/>
      <w:szCs w:val="44"/>
    </w:rPr>
  </w:style>
  <w:style w:type="character" w:customStyle="1" w:styleId="32">
    <w:name w:val="标题 3 Char"/>
    <w:link w:val="5"/>
    <w:qFormat/>
    <w:uiPriority w:val="0"/>
    <w:rPr>
      <w:b/>
      <w:bCs/>
      <w:kern w:val="2"/>
      <w:sz w:val="24"/>
      <w:szCs w:val="32"/>
    </w:rPr>
  </w:style>
  <w:style w:type="character" w:customStyle="1" w:styleId="33">
    <w:name w:val="页眉 Char"/>
    <w:link w:val="14"/>
    <w:qFormat/>
    <w:uiPriority w:val="0"/>
    <w:rPr>
      <w:kern w:val="2"/>
      <w:sz w:val="18"/>
      <w:szCs w:val="18"/>
    </w:rPr>
  </w:style>
  <w:style w:type="character" w:customStyle="1" w:styleId="34">
    <w:name w:val="批注框文本 Char"/>
    <w:link w:val="12"/>
    <w:qFormat/>
    <w:uiPriority w:val="0"/>
    <w:rPr>
      <w:kern w:val="2"/>
      <w:sz w:val="18"/>
      <w:szCs w:val="18"/>
    </w:rPr>
  </w:style>
  <w:style w:type="paragraph" w:customStyle="1" w:styleId="35">
    <w:name w:val="Char Char Char Char Char Char Char Char"/>
    <w:basedOn w:val="1"/>
    <w:qFormat/>
    <w:uiPriority w:val="0"/>
    <w:pPr>
      <w:adjustRightInd w:val="0"/>
      <w:spacing w:line="360" w:lineRule="atLeast"/>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szCs w:val="20"/>
    </w:rPr>
  </w:style>
  <w:style w:type="paragraph" w:customStyle="1" w:styleId="4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1">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16F1B-D2DC-42FE-85FC-CDE6E6FDAE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4795</Words>
  <Characters>5407</Characters>
  <Lines>280</Lines>
  <Paragraphs>79</Paragraphs>
  <TotalTime>9</TotalTime>
  <ScaleCrop>false</ScaleCrop>
  <LinksUpToDate>false</LinksUpToDate>
  <CharactersWithSpaces>5471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2019-12-11T05:04:00Z</dcterms:created>
  <dc:creator>Administrator</dc:creator>
  <cp:lastModifiedBy>陆祖仁</cp:lastModifiedBy>
  <dcterms:modified xsi:type="dcterms:W3CDTF">2023-04-04T06:55:04Z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FF6B247CFC214F85A75D2B11269DB31E</vt:lpwstr>
  </property>
</Properties>
</file>