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微软雅黑" w:hAnsi="微软雅黑" w:eastAsia="微软雅黑" w:cs="微软雅黑"/>
          <w:b/>
          <w:sz w:val="44"/>
          <w:szCs w:val="44"/>
          <w:lang w:val="en-US" w:eastAsia="zh-CN"/>
        </w:rPr>
      </w:pPr>
      <w:r>
        <w:rPr>
          <w:rFonts w:hint="eastAsia" w:ascii="微软雅黑" w:hAnsi="微软雅黑" w:eastAsia="微软雅黑" w:cs="微软雅黑"/>
          <w:b/>
          <w:sz w:val="44"/>
          <w:szCs w:val="44"/>
          <w:lang w:val="en-US" w:eastAsia="zh-CN"/>
        </w:rPr>
        <w:t>广西田林百矿铝业有限公司全自动炭块制样专用数控车床采购项目招标公告</w:t>
      </w:r>
    </w:p>
    <w:p>
      <w:pPr>
        <w:spacing w:line="440" w:lineRule="exact"/>
        <w:jc w:val="center"/>
        <w:rPr>
          <w:rFonts w:asciiTheme="minorEastAsia" w:hAnsiTheme="minorEastAsia"/>
          <w:szCs w:val="21"/>
        </w:rPr>
      </w:pPr>
      <w:r>
        <w:rPr>
          <w:rFonts w:hint="eastAsia" w:asciiTheme="minorEastAsia" w:hAnsiTheme="minorEastAsia"/>
          <w:szCs w:val="21"/>
        </w:rPr>
        <w:t xml:space="preserve">                                                         </w:t>
      </w:r>
    </w:p>
    <w:p>
      <w:pPr>
        <w:keepNext w:val="0"/>
        <w:keepLines w:val="0"/>
        <w:pageBreakBefore w:val="0"/>
        <w:kinsoku/>
        <w:overflowPunct/>
        <w:topLinePunct w:val="0"/>
        <w:bidi w:val="0"/>
        <w:snapToGrid/>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采购类别：</w:t>
      </w:r>
      <w:r>
        <w:rPr>
          <w:rFonts w:hint="eastAsia" w:asciiTheme="minorEastAsia" w:hAnsiTheme="minorEastAsia" w:eastAsiaTheme="minorEastAsia" w:cstheme="minorEastAsia"/>
          <w:b/>
          <w:sz w:val="24"/>
          <w:szCs w:val="24"/>
          <w:lang w:val="en-US" w:eastAsia="zh-CN"/>
        </w:rPr>
        <w:t>设备</w:t>
      </w:r>
      <w:r>
        <w:rPr>
          <w:rFonts w:hint="eastAsia" w:asciiTheme="minorEastAsia" w:hAnsiTheme="minorEastAsia" w:eastAsiaTheme="minorEastAsia" w:cstheme="minorEastAsia"/>
          <w:b/>
          <w:sz w:val="24"/>
          <w:szCs w:val="24"/>
        </w:rPr>
        <w:t>类（注：新用户时请选择此类别，否则无法报名）</w:t>
      </w:r>
    </w:p>
    <w:p>
      <w:pPr>
        <w:keepNext w:val="0"/>
        <w:keepLines w:val="0"/>
        <w:pageBreakBefore w:val="0"/>
        <w:numPr>
          <w:ilvl w:val="0"/>
          <w:numId w:val="2"/>
        </w:numPr>
        <w:kinsoku/>
        <w:overflowPunct/>
        <w:topLinePunct w:val="0"/>
        <w:bidi w:val="0"/>
        <w:snapToGrid/>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项目名称：广西田林</w:t>
      </w:r>
      <w:r>
        <w:rPr>
          <w:rFonts w:hint="eastAsia" w:asciiTheme="minorEastAsia" w:hAnsiTheme="minorEastAsia" w:cstheme="minorEastAsia"/>
          <w:b/>
          <w:sz w:val="24"/>
          <w:szCs w:val="24"/>
          <w:lang w:eastAsia="zh-CN"/>
        </w:rPr>
        <w:t>百矿</w:t>
      </w:r>
      <w:r>
        <w:rPr>
          <w:rFonts w:hint="eastAsia" w:asciiTheme="minorEastAsia" w:hAnsiTheme="minorEastAsia" w:eastAsiaTheme="minorEastAsia" w:cstheme="minorEastAsia"/>
          <w:b/>
          <w:sz w:val="24"/>
          <w:szCs w:val="24"/>
        </w:rPr>
        <w:t>铝业有限公司全自动炭块制样专用数控车床采购项目</w:t>
      </w:r>
    </w:p>
    <w:p>
      <w:pPr>
        <w:keepNext w:val="0"/>
        <w:keepLines w:val="0"/>
        <w:pageBreakBefore w:val="0"/>
        <w:numPr>
          <w:ilvl w:val="0"/>
          <w:numId w:val="0"/>
        </w:numPr>
        <w:kinsoku/>
        <w:overflowPunct/>
        <w:topLinePunct w:val="0"/>
        <w:bidi w:val="0"/>
        <w:snapToGrid/>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2.项目概况与招标范围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r>
        <w:rPr>
          <w:rFonts w:hint="eastAsia" w:asciiTheme="minorEastAsia" w:hAnsiTheme="minorEastAsia" w:eastAsiaTheme="minorEastAsia" w:cstheme="minorEastAsia"/>
          <w:color w:val="000000"/>
          <w:sz w:val="24"/>
          <w:szCs w:val="24"/>
        </w:rPr>
        <w:t>项目概</w:t>
      </w:r>
      <w:r>
        <w:rPr>
          <w:rFonts w:hint="eastAsia" w:asciiTheme="minorEastAsia" w:hAnsiTheme="minorEastAsia" w:eastAsiaTheme="minorEastAsia" w:cstheme="minorEastAsia"/>
          <w:sz w:val="24"/>
          <w:szCs w:val="24"/>
        </w:rPr>
        <w:t>况：</w:t>
      </w:r>
    </w:p>
    <w:p>
      <w:pPr>
        <w:keepNext w:val="0"/>
        <w:keepLines w:val="0"/>
        <w:pageBreakBefore w:val="0"/>
        <w:kinsoku/>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rPr>
      </w:pPr>
      <w:r>
        <w:rPr>
          <w:rFonts w:hint="eastAsia" w:ascii="宋体" w:hAnsi="宋体" w:eastAsia="宋体" w:cs="宋体"/>
          <w:b w:val="0"/>
          <w:bCs/>
          <w:color w:val="auto"/>
          <w:kern w:val="0"/>
          <w:sz w:val="24"/>
          <w:szCs w:val="24"/>
          <w:lang w:val="en-US" w:eastAsia="zh-CN"/>
        </w:rPr>
        <w:t>田林铝厂即将三段全面满产，为满足生产设备配置，需采购全自动炭块制样专用数控车床，现对广西田林铝业有限公司全自动炭块制样专用数控车床采购项目</w:t>
      </w:r>
      <w:r>
        <w:rPr>
          <w:rFonts w:hint="eastAsia" w:asciiTheme="minorEastAsia" w:hAnsiTheme="minorEastAsia" w:eastAsiaTheme="minorEastAsia" w:cstheme="minorEastAsia"/>
          <w:color w:val="auto"/>
          <w:sz w:val="24"/>
        </w:rPr>
        <w:t>进行</w:t>
      </w:r>
      <w:r>
        <w:rPr>
          <w:rFonts w:hint="eastAsia" w:asciiTheme="minorEastAsia" w:hAnsiTheme="minorEastAsia" w:cstheme="minorEastAsia"/>
          <w:color w:val="auto"/>
          <w:sz w:val="24"/>
          <w:lang w:val="en-US" w:eastAsia="zh-CN"/>
        </w:rPr>
        <w:t>公开</w:t>
      </w:r>
      <w:r>
        <w:rPr>
          <w:rFonts w:hint="eastAsia" w:asciiTheme="minorEastAsia" w:hAnsiTheme="minorEastAsia" w:eastAsiaTheme="minorEastAsia" w:cstheme="minorEastAsia"/>
          <w:color w:val="auto"/>
          <w:sz w:val="24"/>
        </w:rPr>
        <w:t>招标。欢迎有实力的单位参与此次招标活动。</w:t>
      </w:r>
    </w:p>
    <w:p>
      <w:pPr>
        <w:keepNext w:val="0"/>
        <w:keepLines w:val="0"/>
        <w:pageBreakBefore w:val="0"/>
        <w:kinsoku/>
        <w:overflowPunct/>
        <w:topLinePunct w:val="0"/>
        <w:bidi w:val="0"/>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2.2</w:t>
      </w:r>
      <w:r>
        <w:rPr>
          <w:rFonts w:hint="eastAsia" w:asciiTheme="minorEastAsia" w:hAnsiTheme="minorEastAsia" w:eastAsiaTheme="minorEastAsia" w:cstheme="minorEastAsia"/>
          <w:sz w:val="24"/>
          <w:szCs w:val="24"/>
          <w:highlight w:val="none"/>
        </w:rPr>
        <w:t>招标范围：</w:t>
      </w:r>
    </w:p>
    <w:tbl>
      <w:tblPr>
        <w:tblStyle w:val="11"/>
        <w:tblW w:w="8553" w:type="dxa"/>
        <w:jc w:val="center"/>
        <w:tblLayout w:type="fixed"/>
        <w:tblCellMar>
          <w:top w:w="15" w:type="dxa"/>
          <w:left w:w="15" w:type="dxa"/>
          <w:bottom w:w="15" w:type="dxa"/>
          <w:right w:w="15" w:type="dxa"/>
        </w:tblCellMar>
      </w:tblPr>
      <w:tblGrid>
        <w:gridCol w:w="920"/>
        <w:gridCol w:w="3768"/>
        <w:gridCol w:w="1275"/>
        <w:gridCol w:w="1295"/>
        <w:gridCol w:w="1295"/>
      </w:tblGrid>
      <w:tr>
        <w:tblPrEx>
          <w:tblCellMar>
            <w:top w:w="15" w:type="dxa"/>
            <w:left w:w="15" w:type="dxa"/>
            <w:bottom w:w="15" w:type="dxa"/>
            <w:right w:w="15" w:type="dxa"/>
          </w:tblCellMar>
        </w:tblPrEx>
        <w:trPr>
          <w:trHeight w:val="350" w:hRule="atLeast"/>
          <w:jc w:val="center"/>
        </w:trPr>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序号</w:t>
            </w:r>
          </w:p>
        </w:tc>
        <w:tc>
          <w:tcPr>
            <w:tcW w:w="37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名称</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数量</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
                <w:bCs/>
                <w:sz w:val="24"/>
              </w:rPr>
            </w:pPr>
            <w:r>
              <w:rPr>
                <w:rFonts w:hint="eastAsia" w:ascii="宋体" w:hAnsi="宋体" w:eastAsia="宋体" w:cs="宋体"/>
                <w:b/>
                <w:bCs/>
                <w:kern w:val="0"/>
                <w:sz w:val="24"/>
                <w:lang w:bidi="ar"/>
              </w:rPr>
              <w:t>单位</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b/>
                <w:bCs/>
                <w:kern w:val="0"/>
                <w:sz w:val="24"/>
                <w:lang w:val="en-US" w:eastAsia="zh-CN" w:bidi="ar"/>
              </w:rPr>
            </w:pPr>
            <w:r>
              <w:rPr>
                <w:rFonts w:hint="eastAsia" w:ascii="宋体" w:hAnsi="宋体" w:cs="宋体"/>
                <w:b/>
                <w:bCs/>
                <w:kern w:val="0"/>
                <w:sz w:val="24"/>
                <w:lang w:val="en-US" w:eastAsia="zh-CN" w:bidi="ar"/>
              </w:rPr>
              <w:t>备注</w:t>
            </w:r>
          </w:p>
        </w:tc>
      </w:tr>
      <w:tr>
        <w:tblPrEx>
          <w:tblCellMar>
            <w:top w:w="15" w:type="dxa"/>
            <w:left w:w="15" w:type="dxa"/>
            <w:bottom w:w="15" w:type="dxa"/>
            <w:right w:w="15" w:type="dxa"/>
          </w:tblCellMar>
        </w:tblPrEx>
        <w:trPr>
          <w:trHeight w:val="420" w:hRule="atLeast"/>
          <w:jc w:val="center"/>
        </w:trPr>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37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全自动炭块制样专用数控车床</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台</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含除尘系统</w:t>
            </w:r>
          </w:p>
        </w:tc>
      </w:tr>
    </w:tbl>
    <w:p>
      <w:pPr>
        <w:keepNext w:val="0"/>
        <w:keepLines w:val="0"/>
        <w:pageBreakBefore w:val="0"/>
        <w:numPr>
          <w:ilvl w:val="0"/>
          <w:numId w:val="0"/>
        </w:numPr>
        <w:kinsoku/>
        <w:overflowPunct/>
        <w:topLinePunct w:val="0"/>
        <w:bidi w:val="0"/>
        <w:snapToGrid/>
        <w:spacing w:line="360" w:lineRule="auto"/>
        <w:ind w:left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3.投标人资格要求</w:t>
      </w:r>
    </w:p>
    <w:p>
      <w:pPr>
        <w:keepNext w:val="0"/>
        <w:keepLines w:val="0"/>
        <w:pageBreakBefore w:val="0"/>
        <w:kinsoku/>
        <w:overflowPunct/>
        <w:topLinePunct w:val="0"/>
        <w:bidi w:val="0"/>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本次招标要求投标人满足如下资格条件：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rPr>
        <w:t>3.1</w:t>
      </w:r>
      <w:r>
        <w:rPr>
          <w:rFonts w:hint="eastAsia" w:asciiTheme="minorEastAsia" w:hAnsiTheme="minorEastAsia" w:eastAsiaTheme="minorEastAsia" w:cstheme="minorEastAsia"/>
          <w:sz w:val="24"/>
          <w:szCs w:val="24"/>
          <w:u w:val="none"/>
        </w:rPr>
        <w:t>在中国境内注册，有独立法人资格和承担民事责任的能力。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3.</w:t>
      </w:r>
      <w:r>
        <w:rPr>
          <w:rFonts w:hint="eastAsia" w:asciiTheme="minorEastAsia" w:hAnsiTheme="minorEastAsia" w:eastAsiaTheme="minorEastAsia" w:cstheme="minorEastAsia"/>
          <w:sz w:val="24"/>
          <w:szCs w:val="24"/>
          <w:u w:val="none"/>
          <w:lang w:val="en-US" w:eastAsia="zh-CN"/>
        </w:rPr>
        <w:t>2</w:t>
      </w:r>
      <w:r>
        <w:rPr>
          <w:rFonts w:hint="eastAsia" w:asciiTheme="minorEastAsia" w:hAnsiTheme="minorEastAsia" w:eastAsiaTheme="minorEastAsia" w:cstheme="minorEastAsia"/>
          <w:sz w:val="24"/>
          <w:szCs w:val="24"/>
          <w:u w:val="none"/>
        </w:rPr>
        <w:t>遵守中华人民共和国有关法律、法规和条例。</w:t>
      </w:r>
    </w:p>
    <w:p>
      <w:pPr>
        <w:pStyle w:val="10"/>
        <w:keepNext w:val="0"/>
        <w:keepLines w:val="0"/>
        <w:pageBreakBefore w:val="0"/>
        <w:shd w:val="clear" w:color="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3.3</w:t>
      </w:r>
      <w:r>
        <w:rPr>
          <w:rFonts w:hint="eastAsia" w:ascii="宋体" w:hAnsi="宋体" w:eastAsia="宋体" w:cs="宋体"/>
          <w:color w:val="0000FF"/>
          <w:kern w:val="2"/>
          <w:sz w:val="24"/>
          <w:szCs w:val="24"/>
          <w:u w:val="none"/>
          <w:lang w:val="en-US" w:eastAsia="zh-CN" w:bidi="ar-SA"/>
        </w:rPr>
        <w:t>应具有生产制造或销售资质。</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3.4</w:t>
      </w:r>
      <w:r>
        <w:rPr>
          <w:rFonts w:hint="eastAsia" w:ascii="宋体" w:hAnsi="宋体" w:eastAsia="宋体" w:cs="宋体"/>
          <w:color w:val="0000FF"/>
          <w:sz w:val="24"/>
          <w:szCs w:val="24"/>
          <w:u w:val="none"/>
          <w:lang w:val="en-US" w:eastAsia="zh-CN"/>
        </w:rPr>
        <w:t>近3年在国内不少于2个类似碳素行业或铝行业数控机床供应业绩。</w:t>
      </w:r>
      <w:r>
        <w:rPr>
          <w:rFonts w:hint="eastAsia" w:ascii="宋体" w:hAnsi="宋体" w:eastAsia="宋体" w:cs="宋体"/>
          <w:color w:val="0000FF"/>
          <w:sz w:val="24"/>
          <w:szCs w:val="24"/>
          <w:u w:val="none"/>
          <w:lang w:eastAsia="zh-CN"/>
        </w:rPr>
        <w:t>（</w:t>
      </w:r>
      <w:r>
        <w:rPr>
          <w:rFonts w:hint="eastAsia" w:ascii="宋体" w:hAnsi="宋体" w:eastAsia="宋体" w:cs="宋体"/>
          <w:color w:val="0000FF"/>
          <w:sz w:val="24"/>
          <w:szCs w:val="24"/>
          <w:u w:val="none"/>
          <w:lang w:val="en-US" w:eastAsia="zh-CN"/>
        </w:rPr>
        <w:t>业绩须附列表及对应列表的合同原件扫描件。合同原件扫描件含首尾页、合同供货清单、签字盖章页，</w:t>
      </w:r>
      <w:r>
        <w:rPr>
          <w:rFonts w:hint="eastAsia" w:ascii="宋体" w:hAnsi="宋体" w:eastAsia="宋体" w:cs="宋体"/>
          <w:color w:val="0000FF"/>
          <w:sz w:val="24"/>
          <w:szCs w:val="24"/>
          <w:u w:val="none"/>
        </w:rPr>
        <w:t>否则按无效业绩处理</w:t>
      </w:r>
      <w:r>
        <w:rPr>
          <w:rFonts w:hint="eastAsia" w:ascii="宋体" w:hAnsi="宋体" w:eastAsia="宋体" w:cs="宋体"/>
          <w:color w:val="0000FF"/>
          <w:sz w:val="24"/>
          <w:szCs w:val="24"/>
          <w:u w:val="none"/>
          <w:lang w:eastAsia="zh-CN"/>
        </w:rPr>
        <w:t>）。</w:t>
      </w:r>
    </w:p>
    <w:p>
      <w:pPr>
        <w:pStyle w:val="10"/>
        <w:keepNext w:val="0"/>
        <w:keepLines w:val="0"/>
        <w:pageBreakBefore w:val="0"/>
        <w:shd w:val="clear" w:color="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近年来有较好业绩且无不良商业行为。</w:t>
      </w:r>
    </w:p>
    <w:p>
      <w:pPr>
        <w:pStyle w:val="10"/>
        <w:keepNext w:val="0"/>
        <w:keepLines w:val="0"/>
        <w:pageBreakBefore w:val="0"/>
        <w:shd w:val="clear" w:color="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具有良好的商业信誉和健全的财务会计制度。</w:t>
      </w:r>
    </w:p>
    <w:p>
      <w:pPr>
        <w:pStyle w:val="10"/>
        <w:keepNext w:val="0"/>
        <w:keepLines w:val="0"/>
        <w:pageBreakBefore w:val="0"/>
        <w:shd w:val="clear" w:color="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3.7</w:t>
      </w:r>
      <w:r>
        <w:rPr>
          <w:rFonts w:hint="eastAsia" w:asciiTheme="minorEastAsia" w:hAnsiTheme="minorEastAsia" w:eastAsiaTheme="minorEastAsia" w:cstheme="minorEastAsia"/>
          <w:color w:val="000000"/>
          <w:sz w:val="24"/>
          <w:szCs w:val="24"/>
          <w:highlight w:val="none"/>
        </w:rPr>
        <w:t>具有投资参股关系的关联企业，或具有直接管理和被管理关系的母子公司，或同一母公司的子公司，或单位负责人为同一个人的不同单位不得同时投标，否则均按无效投标处理。</w:t>
      </w:r>
    </w:p>
    <w:p>
      <w:pPr>
        <w:pStyle w:val="10"/>
        <w:keepNext w:val="0"/>
        <w:keepLines w:val="0"/>
        <w:pageBreakBefore w:val="0"/>
        <w:shd w:val="clear" w:color="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454D54"/>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val="en-US" w:eastAsia="zh-CN"/>
        </w:rPr>
        <w:t>8</w:t>
      </w:r>
      <w:r>
        <w:rPr>
          <w:rFonts w:hint="eastAsia" w:asciiTheme="minorEastAsia" w:hAnsiTheme="minorEastAsia" w:eastAsiaTheme="minorEastAsia" w:cstheme="minorEastAsia"/>
          <w:color w:val="000000"/>
          <w:sz w:val="24"/>
          <w:szCs w:val="24"/>
        </w:rPr>
        <w:t>本次招标不接受联合体投标</w:t>
      </w:r>
      <w:r>
        <w:rPr>
          <w:rFonts w:hint="eastAsia" w:asciiTheme="minorEastAsia" w:hAnsiTheme="minorEastAsia" w:eastAsiaTheme="minorEastAsia" w:cstheme="minorEastAsia"/>
          <w:color w:val="000000"/>
          <w:sz w:val="24"/>
          <w:szCs w:val="24"/>
          <w:lang w:eastAsia="zh-CN"/>
        </w:rPr>
        <w:t>，不接受分包/转包。</w:t>
      </w:r>
    </w:p>
    <w:p>
      <w:pPr>
        <w:keepNext w:val="0"/>
        <w:keepLines w:val="0"/>
        <w:pageBreakBefore w:val="0"/>
        <w:kinsoku/>
        <w:overflowPunct/>
        <w:topLinePunct w:val="0"/>
        <w:bidi w:val="0"/>
        <w:snapToGrid/>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4.投标报名</w:t>
      </w:r>
      <w:bookmarkStart w:id="0" w:name="_GoBack"/>
      <w:bookmarkEnd w:id="0"/>
    </w:p>
    <w:p>
      <w:pPr>
        <w:keepNext w:val="0"/>
        <w:keepLines w:val="0"/>
        <w:pageBreakBefore w:val="0"/>
        <w:kinsoku/>
        <w:overflowPunct/>
        <w:topLinePunct w:val="0"/>
        <w:bidi w:val="0"/>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4.1报名方式</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4.1.1 *凡有意参加报名的投标人，请至吉利控股集团招标采购平台</w:t>
      </w:r>
      <w:r>
        <w:rPr>
          <w:rStyle w:val="14"/>
          <w:rFonts w:hint="eastAsia" w:asciiTheme="minorEastAsia" w:hAnsiTheme="minorEastAsia" w:eastAsiaTheme="minorEastAsia" w:cstheme="minorEastAsia"/>
          <w:color w:val="454D54"/>
          <w:sz w:val="24"/>
          <w:szCs w:val="24"/>
        </w:rPr>
        <w:t>（</w:t>
      </w:r>
      <w:r>
        <w:rPr>
          <w:rFonts w:hint="eastAsia" w:asciiTheme="minorEastAsia" w:hAnsiTheme="minorEastAsia" w:eastAsiaTheme="minorEastAsia" w:cstheme="minorEastAsia"/>
          <w:bCs/>
          <w:sz w:val="24"/>
          <w:szCs w:val="24"/>
        </w:rPr>
        <w:t>glzb.geely.com</w:t>
      </w:r>
      <w:r>
        <w:rPr>
          <w:rStyle w:val="14"/>
          <w:rFonts w:hint="eastAsia" w:asciiTheme="minorEastAsia" w:hAnsiTheme="minorEastAsia" w:eastAsiaTheme="minorEastAsia" w:cstheme="minorEastAsia"/>
          <w:color w:val="454D54"/>
          <w:sz w:val="24"/>
          <w:szCs w:val="24"/>
        </w:rPr>
        <w:t>）</w:t>
      </w:r>
      <w:r>
        <w:rPr>
          <w:rFonts w:hint="eastAsia" w:asciiTheme="minorEastAsia" w:hAnsiTheme="minorEastAsia" w:eastAsiaTheme="minorEastAsia" w:cstheme="minorEastAsia"/>
          <w:bCs/>
          <w:sz w:val="24"/>
          <w:szCs w:val="24"/>
        </w:rPr>
        <w:t>注册报名，可在平台网站首页点击“下载供应商服务手册”查看《吉利电子采购招标平台操作手册（供应商端</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rPr>
        <w:t>》,投标人根据手册要求进行注册，认证完成后为注册成功后。供应商根据公告项目名称，按照报名要求上传资料。未按照此方式报名的，视作无效报名。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4.1.2 *报名截止时间：</w:t>
      </w:r>
      <w:r>
        <w:rPr>
          <w:rFonts w:hint="eastAsia" w:asciiTheme="minorEastAsia" w:hAnsiTheme="minorEastAsia" w:eastAsiaTheme="minorEastAsia" w:cstheme="minorEastAsia"/>
          <w:bCs/>
          <w:color w:val="0000FF"/>
          <w:sz w:val="24"/>
          <w:szCs w:val="24"/>
          <w:highlight w:val="none"/>
          <w:u w:val="single"/>
        </w:rPr>
        <w:t>20</w:t>
      </w:r>
      <w:r>
        <w:rPr>
          <w:rFonts w:hint="eastAsia" w:asciiTheme="minorEastAsia" w:hAnsiTheme="minorEastAsia" w:eastAsiaTheme="minorEastAsia" w:cstheme="minorEastAsia"/>
          <w:bCs/>
          <w:color w:val="0000FF"/>
          <w:sz w:val="24"/>
          <w:szCs w:val="24"/>
          <w:highlight w:val="none"/>
          <w:u w:val="single"/>
          <w:lang w:val="en-US" w:eastAsia="zh-CN"/>
        </w:rPr>
        <w:t>2</w:t>
      </w:r>
      <w:r>
        <w:rPr>
          <w:rFonts w:hint="eastAsia" w:asciiTheme="minorEastAsia" w:hAnsiTheme="minorEastAsia" w:cstheme="minorEastAsia"/>
          <w:bCs/>
          <w:color w:val="0000FF"/>
          <w:sz w:val="24"/>
          <w:szCs w:val="24"/>
          <w:highlight w:val="none"/>
          <w:u w:val="single"/>
          <w:lang w:val="en-US" w:eastAsia="zh-CN"/>
        </w:rPr>
        <w:t>3</w:t>
      </w:r>
      <w:r>
        <w:rPr>
          <w:rFonts w:hint="eastAsia" w:asciiTheme="minorEastAsia" w:hAnsiTheme="minorEastAsia" w:eastAsiaTheme="minorEastAsia" w:cstheme="minorEastAsia"/>
          <w:bCs/>
          <w:color w:val="0000FF"/>
          <w:sz w:val="24"/>
          <w:szCs w:val="24"/>
          <w:highlight w:val="none"/>
        </w:rPr>
        <w:t>年</w:t>
      </w:r>
      <w:r>
        <w:rPr>
          <w:rFonts w:hint="eastAsia" w:asciiTheme="minorEastAsia" w:hAnsiTheme="minorEastAsia" w:cstheme="minorEastAsia"/>
          <w:bCs/>
          <w:color w:val="0000FF"/>
          <w:sz w:val="24"/>
          <w:szCs w:val="24"/>
          <w:highlight w:val="none"/>
          <w:u w:val="single"/>
          <w:lang w:val="en-US" w:eastAsia="zh-CN"/>
        </w:rPr>
        <w:t>4</w:t>
      </w:r>
      <w:r>
        <w:rPr>
          <w:rFonts w:hint="eastAsia" w:asciiTheme="minorEastAsia" w:hAnsiTheme="minorEastAsia" w:eastAsiaTheme="minorEastAsia" w:cstheme="minorEastAsia"/>
          <w:bCs/>
          <w:color w:val="0000FF"/>
          <w:sz w:val="24"/>
          <w:szCs w:val="24"/>
          <w:highlight w:val="none"/>
        </w:rPr>
        <w:t>月</w:t>
      </w:r>
      <w:r>
        <w:rPr>
          <w:rFonts w:hint="eastAsia" w:asciiTheme="minorEastAsia" w:hAnsiTheme="minorEastAsia" w:cstheme="minorEastAsia"/>
          <w:bCs/>
          <w:color w:val="0000FF"/>
          <w:sz w:val="24"/>
          <w:szCs w:val="24"/>
          <w:highlight w:val="none"/>
          <w:u w:val="single"/>
          <w:lang w:val="en-US" w:eastAsia="zh-CN"/>
        </w:rPr>
        <w:t>10</w:t>
      </w:r>
      <w:r>
        <w:rPr>
          <w:rFonts w:hint="eastAsia" w:asciiTheme="minorEastAsia" w:hAnsiTheme="minorEastAsia" w:eastAsiaTheme="minorEastAsia" w:cstheme="minorEastAsia"/>
          <w:bCs/>
          <w:color w:val="0000FF"/>
          <w:sz w:val="24"/>
          <w:szCs w:val="24"/>
          <w:highlight w:val="none"/>
        </w:rPr>
        <w:t>日</w:t>
      </w: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bCs/>
          <w:sz w:val="24"/>
          <w:szCs w:val="24"/>
          <w:highlight w:val="none"/>
          <w:lang w:eastAsia="zh-CN"/>
        </w:rPr>
        <w:t>（未在招标网上注册过的供应商，因注册后需要审核，请至少提前一天进行注册）。</w:t>
      </w:r>
    </w:p>
    <w:p>
      <w:pPr>
        <w:keepNext w:val="0"/>
        <w:keepLines w:val="0"/>
        <w:pageBreakBefore w:val="0"/>
        <w:kinsoku/>
        <w:overflowPunct/>
        <w:topLinePunct w:val="0"/>
        <w:bidi w:val="0"/>
        <w:snapToGrid/>
        <w:spacing w:line="360" w:lineRule="auto"/>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4.2报名资料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报名资料于报名截止时间前上传至吉利控股集团招标采购平台，报名资料包含但不限于以下内容：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color w:val="FF0000"/>
          <w:sz w:val="24"/>
          <w:szCs w:val="24"/>
        </w:rPr>
      </w:pPr>
      <w:r>
        <w:rPr>
          <w:rFonts w:hint="eastAsia" w:ascii="宋体" w:hAnsi="宋体" w:eastAsia="宋体" w:cs="宋体"/>
          <w:bCs/>
          <w:sz w:val="24"/>
          <w:szCs w:val="24"/>
        </w:rPr>
        <w:t>a、三证合一的营业执照副本；</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b、</w:t>
      </w:r>
      <w:r>
        <w:rPr>
          <w:rFonts w:hint="eastAsia" w:ascii="宋体" w:hAnsi="宋体" w:eastAsia="宋体" w:cs="宋体"/>
          <w:bCs/>
          <w:sz w:val="24"/>
          <w:szCs w:val="24"/>
          <w:lang w:eastAsia="zh-CN"/>
        </w:rPr>
        <w:t>近</w:t>
      </w:r>
      <w:r>
        <w:rPr>
          <w:rFonts w:hint="eastAsia" w:ascii="宋体" w:hAnsi="宋体" w:eastAsia="宋体" w:cs="宋体"/>
          <w:bCs/>
          <w:sz w:val="24"/>
          <w:szCs w:val="24"/>
          <w:lang w:val="en-US" w:eastAsia="zh-CN"/>
        </w:rPr>
        <w:t>3年</w:t>
      </w:r>
      <w:r>
        <w:rPr>
          <w:rFonts w:hint="eastAsia" w:ascii="宋体" w:hAnsi="宋体" w:eastAsia="宋体" w:cs="宋体"/>
          <w:bCs/>
          <w:sz w:val="24"/>
          <w:szCs w:val="24"/>
        </w:rPr>
        <w:t>在国内不少于</w:t>
      </w:r>
      <w:r>
        <w:rPr>
          <w:rFonts w:hint="eastAsia" w:ascii="宋体" w:hAnsi="宋体" w:eastAsia="宋体" w:cs="宋体"/>
          <w:bCs/>
          <w:sz w:val="24"/>
          <w:szCs w:val="24"/>
          <w:lang w:val="en-US" w:eastAsia="zh-CN"/>
        </w:rPr>
        <w:t>2个</w:t>
      </w:r>
      <w:r>
        <w:rPr>
          <w:rFonts w:hint="eastAsia" w:ascii="宋体" w:hAnsi="宋体" w:eastAsia="宋体" w:cs="宋体"/>
          <w:bCs/>
          <w:sz w:val="24"/>
          <w:szCs w:val="24"/>
        </w:rPr>
        <w:t>类似</w:t>
      </w:r>
      <w:r>
        <w:rPr>
          <w:rFonts w:hint="eastAsia" w:ascii="宋体" w:hAnsi="宋体" w:eastAsia="宋体" w:cs="宋体"/>
          <w:bCs/>
          <w:sz w:val="24"/>
          <w:szCs w:val="24"/>
          <w:lang w:val="en-US" w:eastAsia="zh-CN"/>
        </w:rPr>
        <w:t>碳素行业或铝行业数控车床</w:t>
      </w:r>
      <w:r>
        <w:rPr>
          <w:rFonts w:hint="eastAsia" w:ascii="宋体" w:hAnsi="宋体" w:eastAsia="宋体" w:cs="宋体"/>
          <w:bCs/>
          <w:sz w:val="24"/>
          <w:szCs w:val="24"/>
        </w:rPr>
        <w:t>项目业绩证明及证明材料（提供合同扫描件，涉及机密部分可隐去）；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c、</w:t>
      </w:r>
      <w:r>
        <w:rPr>
          <w:rFonts w:hint="eastAsia" w:ascii="宋体" w:hAnsi="宋体" w:eastAsia="宋体" w:cs="宋体"/>
          <w:b w:val="0"/>
          <w:bCs/>
          <w:color w:val="0000FF"/>
          <w:kern w:val="0"/>
          <w:sz w:val="24"/>
          <w:szCs w:val="24"/>
          <w:lang w:val="en-US" w:eastAsia="zh-CN" w:bidi="ar-SA"/>
        </w:rPr>
        <w:t>应具有相应设备生产制造或销售资质。</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d、</w:t>
      </w:r>
      <w:r>
        <w:rPr>
          <w:rFonts w:hint="eastAsia" w:ascii="宋体" w:hAnsi="宋体" w:eastAsia="宋体" w:cs="宋体"/>
          <w:sz w:val="24"/>
          <w:szCs w:val="24"/>
        </w:rPr>
        <w:t>企业概况及履约能力说明</w:t>
      </w:r>
      <w:r>
        <w:rPr>
          <w:rFonts w:hint="eastAsia" w:ascii="宋体" w:hAnsi="宋体" w:eastAsia="宋体" w:cs="宋体"/>
          <w:color w:val="auto"/>
          <w:sz w:val="24"/>
          <w:szCs w:val="24"/>
          <w:highlight w:val="none"/>
          <w:lang w:eastAsia="zh-CN"/>
        </w:rPr>
        <w:t>；</w:t>
      </w:r>
    </w:p>
    <w:p>
      <w:pPr>
        <w:pStyle w:val="4"/>
        <w:keepNext w:val="0"/>
        <w:keepLines w:val="0"/>
        <w:pageBreakBefore w:val="0"/>
        <w:kinsoku/>
        <w:overflowPunct/>
        <w:topLinePunct w:val="0"/>
        <w:bidi w:val="0"/>
        <w:snapToGrid/>
        <w:spacing w:line="360" w:lineRule="auto"/>
        <w:textAlignment w:val="auto"/>
        <w:rPr>
          <w:rFonts w:hint="default"/>
          <w:lang w:val="en-US" w:eastAsia="zh-CN"/>
        </w:rPr>
      </w:pPr>
      <w:r>
        <w:rPr>
          <w:rFonts w:hint="eastAsia" w:ascii="宋体" w:hAnsi="宋体" w:eastAsia="宋体" w:cs="宋体"/>
          <w:bCs/>
          <w:sz w:val="24"/>
          <w:szCs w:val="24"/>
          <w:lang w:val="en-US" w:eastAsia="zh-CN"/>
        </w:rPr>
        <w:t>e</w:t>
      </w:r>
      <w:r>
        <w:rPr>
          <w:rFonts w:hint="eastAsia" w:ascii="宋体" w:hAnsi="宋体" w:eastAsia="宋体" w:cs="宋体"/>
          <w:bCs/>
          <w:sz w:val="24"/>
          <w:szCs w:val="24"/>
        </w:rPr>
        <w:t>、</w:t>
      </w:r>
      <w:r>
        <w:rPr>
          <w:rFonts w:hint="eastAsia" w:ascii="宋体" w:hAnsi="宋体" w:eastAsia="宋体" w:cs="宋体"/>
          <w:b w:val="0"/>
          <w:bCs/>
          <w:color w:val="0000FF"/>
          <w:kern w:val="0"/>
          <w:sz w:val="24"/>
          <w:szCs w:val="24"/>
          <w:lang w:eastAsia="zh-CN"/>
        </w:rPr>
        <w:t>近三年的财务报表资料（财务审计报告或纳税申报表，并在申报系统上导出或截图的资产负债表、利润表</w:t>
      </w:r>
      <w:r>
        <w:rPr>
          <w:rFonts w:hint="eastAsia" w:ascii="宋体" w:hAnsi="宋体" w:eastAsia="宋体" w:cs="宋体"/>
          <w:b w:val="0"/>
          <w:bCs/>
          <w:color w:val="0000FF"/>
          <w:kern w:val="0"/>
          <w:sz w:val="24"/>
          <w:szCs w:val="24"/>
          <w:lang w:val="en-US" w:eastAsia="zh-CN"/>
        </w:rPr>
        <w:t>/损益表、现金流量表</w:t>
      </w:r>
      <w:r>
        <w:rPr>
          <w:rFonts w:hint="eastAsia" w:ascii="宋体" w:hAnsi="宋体" w:eastAsia="宋体" w:cs="宋体"/>
          <w:b w:val="0"/>
          <w:bCs/>
          <w:color w:val="0000FF"/>
          <w:kern w:val="0"/>
          <w:sz w:val="24"/>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4.3提交材料要求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a、合同请扫描成一份PDF文件，严禁将合同分成一张张图片上传；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b、请提供合同原件扫描件、合同扫描件需体现合作对象、合作时间、服务内容等信息（价格部分可隐藏）；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rPr>
        <w:t>c、合同扫描件请命名：XXXX公司+与XXXX公司合作合同（合同内容：XXX）</w:t>
      </w:r>
      <w:r>
        <w:rPr>
          <w:rFonts w:hint="eastAsia" w:asciiTheme="minorEastAsia" w:hAnsiTheme="minorEastAsia" w:eastAsiaTheme="minorEastAsia" w:cstheme="minorEastAsia"/>
          <w:bCs/>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备注：请</w:t>
      </w:r>
      <w:r>
        <w:rPr>
          <w:rFonts w:hint="eastAsia" w:asciiTheme="minorEastAsia" w:hAnsiTheme="minorEastAsia" w:eastAsiaTheme="minorEastAsia" w:cstheme="minorEastAsia"/>
          <w:bCs/>
          <w:sz w:val="24"/>
          <w:szCs w:val="24"/>
          <w:lang w:eastAsia="zh-CN"/>
        </w:rPr>
        <w:t>报名单位</w:t>
      </w:r>
      <w:r>
        <w:rPr>
          <w:rFonts w:hint="eastAsia" w:asciiTheme="minorEastAsia" w:hAnsiTheme="minorEastAsia" w:eastAsiaTheme="minorEastAsia" w:cstheme="minorEastAsia"/>
          <w:bCs/>
          <w:sz w:val="24"/>
          <w:szCs w:val="24"/>
        </w:rPr>
        <w:t>务必按照要求提交业绩材料，如因</w:t>
      </w:r>
      <w:r>
        <w:rPr>
          <w:rFonts w:hint="eastAsia" w:asciiTheme="minorEastAsia" w:hAnsiTheme="minorEastAsia" w:eastAsiaTheme="minorEastAsia" w:cstheme="minorEastAsia"/>
          <w:bCs/>
          <w:sz w:val="24"/>
          <w:szCs w:val="24"/>
          <w:lang w:eastAsia="zh-CN"/>
        </w:rPr>
        <w:t>报名单位</w:t>
      </w:r>
      <w:r>
        <w:rPr>
          <w:rFonts w:hint="eastAsia" w:asciiTheme="minorEastAsia" w:hAnsiTheme="minorEastAsia" w:eastAsiaTheme="minorEastAsia" w:cstheme="minorEastAsia"/>
          <w:bCs/>
          <w:sz w:val="24"/>
          <w:szCs w:val="24"/>
        </w:rPr>
        <w:t>提交的材料不符合要求而造成</w:t>
      </w:r>
      <w:r>
        <w:rPr>
          <w:rFonts w:hint="eastAsia" w:asciiTheme="minorEastAsia" w:hAnsiTheme="minorEastAsia" w:eastAsiaTheme="minorEastAsia" w:cstheme="minorEastAsia"/>
          <w:bCs/>
          <w:sz w:val="24"/>
          <w:szCs w:val="24"/>
          <w:lang w:eastAsia="zh-CN"/>
        </w:rPr>
        <w:t>报名单位</w:t>
      </w:r>
      <w:r>
        <w:rPr>
          <w:rFonts w:hint="eastAsia" w:asciiTheme="minorEastAsia" w:hAnsiTheme="minorEastAsia" w:eastAsiaTheme="minorEastAsia" w:cstheme="minorEastAsia"/>
          <w:bCs/>
          <w:sz w:val="24"/>
          <w:szCs w:val="24"/>
        </w:rPr>
        <w:t>被淘汰，招标方不承担任何责任。以上资料扫描命名打包，报名资料需在报名截止时间前上传，逾期报名无效。</w:t>
      </w:r>
    </w:p>
    <w:p>
      <w:pPr>
        <w:keepNext w:val="0"/>
        <w:keepLines w:val="0"/>
        <w:pageBreakBefore w:val="0"/>
        <w:kinsoku/>
        <w:overflowPunct/>
        <w:topLinePunct w:val="0"/>
        <w:bidi w:val="0"/>
        <w:snapToGrid/>
        <w:spacing w:line="360" w:lineRule="auto"/>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t>5.招标文件的获取</w:t>
      </w:r>
      <w:r>
        <w:rPr>
          <w:rFonts w:hint="eastAsia" w:asciiTheme="minorEastAsia" w:hAnsiTheme="minorEastAsia" w:eastAsiaTheme="minorEastAsia" w:cstheme="minorEastAsia"/>
          <w:b/>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5.1报名截止后，对所有报名单位进行资格初审，初审合格后购买招标文件；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FF0000"/>
          <w:sz w:val="24"/>
          <w:szCs w:val="24"/>
          <w:highlight w:val="none"/>
          <w:lang w:eastAsia="zh-CN"/>
        </w:rPr>
      </w:pPr>
      <w:r>
        <w:rPr>
          <w:rFonts w:hint="eastAsia" w:asciiTheme="minorEastAsia" w:hAnsiTheme="minorEastAsia" w:eastAsiaTheme="minorEastAsia" w:cstheme="minorEastAsia"/>
          <w:bCs/>
          <w:sz w:val="24"/>
          <w:szCs w:val="24"/>
          <w:highlight w:val="none"/>
        </w:rPr>
        <w:t>5.2</w:t>
      </w:r>
      <w:r>
        <w:rPr>
          <w:rFonts w:hint="eastAsia" w:asciiTheme="minorEastAsia" w:hAnsiTheme="minorEastAsia" w:eastAsiaTheme="minorEastAsia" w:cstheme="minorEastAsia"/>
          <w:bCs/>
          <w:color w:val="0000FF"/>
          <w:sz w:val="24"/>
          <w:szCs w:val="24"/>
          <w:highlight w:val="none"/>
        </w:rPr>
        <w:t>招标文件每套售价</w:t>
      </w:r>
      <w:r>
        <w:rPr>
          <w:rFonts w:hint="eastAsia" w:asciiTheme="minorEastAsia" w:hAnsiTheme="minorEastAsia" w:eastAsiaTheme="minorEastAsia" w:cstheme="minorEastAsia"/>
          <w:bCs/>
          <w:color w:val="0000FF"/>
          <w:sz w:val="24"/>
          <w:szCs w:val="24"/>
          <w:highlight w:val="none"/>
          <w:u w:val="single"/>
          <w:lang w:val="en-US" w:eastAsia="zh-CN"/>
        </w:rPr>
        <w:t>100</w:t>
      </w:r>
      <w:r>
        <w:rPr>
          <w:rFonts w:hint="eastAsia" w:asciiTheme="minorEastAsia" w:hAnsiTheme="minorEastAsia" w:eastAsiaTheme="minorEastAsia" w:cstheme="minorEastAsia"/>
          <w:bCs/>
          <w:color w:val="0000FF"/>
          <w:sz w:val="24"/>
          <w:szCs w:val="24"/>
          <w:highlight w:val="none"/>
        </w:rPr>
        <w:t>元，售后不退</w:t>
      </w:r>
      <w:r>
        <w:rPr>
          <w:rFonts w:hint="eastAsia" w:asciiTheme="minorEastAsia" w:hAnsiTheme="minorEastAsia" w:eastAsiaTheme="minorEastAsia" w:cstheme="minorEastAsia"/>
          <w:bCs/>
          <w:color w:val="0000FF"/>
          <w:sz w:val="24"/>
          <w:szCs w:val="24"/>
          <w:highlight w:val="none"/>
          <w:lang w:eastAsia="zh-CN"/>
        </w:rPr>
        <w:t>。</w:t>
      </w:r>
    </w:p>
    <w:p>
      <w:pPr>
        <w:keepNext w:val="0"/>
        <w:keepLines w:val="0"/>
        <w:pageBreakBefore w:val="0"/>
        <w:kinsoku/>
        <w:overflowPunct/>
        <w:topLinePunct w:val="0"/>
        <w:bidi w:val="0"/>
        <w:snapToGrid/>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6.发布公告的媒介</w:t>
      </w:r>
    </w:p>
    <w:p>
      <w:pPr>
        <w:keepNext w:val="0"/>
        <w:keepLines w:val="0"/>
        <w:pageBreakBefore w:val="0"/>
        <w:kinsoku/>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本次招标公告只在吉利控股集团招标采购平台glzb.geely</w:t>
      </w:r>
      <w:r>
        <w:rPr>
          <w:rFonts w:hint="eastAsia" w:asciiTheme="minorEastAsia" w:hAnsiTheme="minorEastAsia" w:eastAsiaTheme="minorEastAsia" w:cstheme="minorEastAsia"/>
          <w:bCs/>
          <w:sz w:val="24"/>
          <w:szCs w:val="24"/>
          <w:lang w:val="en-US" w:eastAsia="zh-CN"/>
        </w:rPr>
        <w:t>.</w:t>
      </w:r>
      <w:r>
        <w:rPr>
          <w:rFonts w:hint="eastAsia" w:asciiTheme="minorEastAsia" w:hAnsiTheme="minorEastAsia" w:eastAsiaTheme="minorEastAsia" w:cstheme="minorEastAsia"/>
          <w:bCs/>
          <w:sz w:val="24"/>
          <w:szCs w:val="24"/>
        </w:rPr>
        <w:t>com上发布，其他媒体转载无效。</w:t>
      </w:r>
    </w:p>
    <w:p>
      <w:pPr>
        <w:keepNext w:val="0"/>
        <w:keepLines w:val="0"/>
        <w:pageBreakBefore w:val="0"/>
        <w:kinsoku/>
        <w:overflowPunct/>
        <w:topLinePunct w:val="0"/>
        <w:bidi w:val="0"/>
        <w:snapToGrid/>
        <w:spacing w:line="360" w:lineRule="auto"/>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7.联系方式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FF"/>
          <w:sz w:val="24"/>
          <w:szCs w:val="24"/>
          <w:lang w:val="en-US" w:eastAsia="zh-CN"/>
        </w:rPr>
      </w:pPr>
      <w:r>
        <w:rPr>
          <w:rFonts w:hint="eastAsia" w:asciiTheme="minorEastAsia" w:hAnsiTheme="minorEastAsia" w:eastAsiaTheme="minorEastAsia" w:cstheme="minorEastAsia"/>
          <w:bCs/>
          <w:color w:val="0000FF"/>
          <w:sz w:val="24"/>
          <w:szCs w:val="24"/>
          <w:lang w:val="en-US" w:eastAsia="zh-CN"/>
        </w:rPr>
        <w:t>招标人：广西田林</w:t>
      </w:r>
      <w:r>
        <w:rPr>
          <w:rFonts w:hint="eastAsia" w:asciiTheme="minorEastAsia" w:hAnsiTheme="minorEastAsia" w:cstheme="minorEastAsia"/>
          <w:bCs/>
          <w:color w:val="0000FF"/>
          <w:sz w:val="24"/>
          <w:szCs w:val="24"/>
          <w:lang w:val="en-US" w:eastAsia="zh-CN"/>
        </w:rPr>
        <w:t>百矿</w:t>
      </w:r>
      <w:r>
        <w:rPr>
          <w:rFonts w:hint="eastAsia" w:asciiTheme="minorEastAsia" w:hAnsiTheme="minorEastAsia" w:eastAsiaTheme="minorEastAsia" w:cstheme="minorEastAsia"/>
          <w:bCs/>
          <w:color w:val="0000FF"/>
          <w:sz w:val="24"/>
          <w:szCs w:val="24"/>
          <w:lang w:val="en-US" w:eastAsia="zh-CN"/>
        </w:rPr>
        <w:t>铝业有限公司</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FF"/>
          <w:sz w:val="24"/>
          <w:szCs w:val="24"/>
          <w:lang w:val="en-US" w:eastAsia="zh-CN"/>
        </w:rPr>
      </w:pPr>
      <w:r>
        <w:rPr>
          <w:rFonts w:hint="eastAsia" w:asciiTheme="minorEastAsia" w:hAnsiTheme="minorEastAsia" w:eastAsiaTheme="minorEastAsia" w:cstheme="minorEastAsia"/>
          <w:bCs/>
          <w:color w:val="0000FF"/>
          <w:sz w:val="24"/>
          <w:szCs w:val="24"/>
          <w:lang w:val="en-US" w:eastAsia="zh-CN"/>
        </w:rPr>
        <w:t xml:space="preserve">招标组织单位：吉利百矿集团有限公司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FF"/>
          <w:sz w:val="24"/>
          <w:szCs w:val="24"/>
          <w:lang w:val="en-US" w:eastAsia="zh-CN"/>
        </w:rPr>
      </w:pPr>
      <w:r>
        <w:rPr>
          <w:rFonts w:hint="eastAsia" w:asciiTheme="minorEastAsia" w:hAnsiTheme="minorEastAsia" w:eastAsiaTheme="minorEastAsia" w:cstheme="minorEastAsia"/>
          <w:bCs/>
          <w:color w:val="0000FF"/>
          <w:sz w:val="24"/>
          <w:szCs w:val="24"/>
          <w:lang w:val="en-US" w:eastAsia="zh-CN"/>
        </w:rPr>
        <w:t>招标组织人地址：</w:t>
      </w:r>
      <w:r>
        <w:rPr>
          <w:rFonts w:hint="eastAsia" w:asciiTheme="minorEastAsia" w:hAnsiTheme="minorEastAsia" w:eastAsiaTheme="minorEastAsia" w:cstheme="minorEastAsia"/>
          <w:bCs/>
          <w:color w:val="0000FF"/>
          <w:sz w:val="24"/>
          <w:szCs w:val="24"/>
          <w:lang w:eastAsia="zh-CN"/>
        </w:rPr>
        <w:t>广西百色市</w:t>
      </w:r>
      <w:r>
        <w:rPr>
          <w:rFonts w:hint="eastAsia" w:asciiTheme="minorEastAsia" w:hAnsiTheme="minorEastAsia" w:eastAsiaTheme="minorEastAsia" w:cstheme="minorEastAsia"/>
          <w:bCs/>
          <w:color w:val="0000FF"/>
          <w:sz w:val="24"/>
          <w:szCs w:val="24"/>
          <w:lang w:val="en-US" w:eastAsia="zh-CN"/>
        </w:rPr>
        <w:t>右江区东增路188号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FF"/>
          <w:sz w:val="24"/>
          <w:szCs w:val="24"/>
          <w:lang w:val="en-US" w:eastAsia="zh-CN"/>
        </w:rPr>
      </w:pPr>
      <w:r>
        <w:rPr>
          <w:rFonts w:hint="eastAsia" w:asciiTheme="minorEastAsia" w:hAnsiTheme="minorEastAsia" w:eastAsiaTheme="minorEastAsia" w:cstheme="minorEastAsia"/>
          <w:bCs/>
          <w:color w:val="0000FF"/>
          <w:sz w:val="24"/>
          <w:szCs w:val="24"/>
          <w:lang w:val="en-US" w:eastAsia="zh-CN"/>
        </w:rPr>
        <w:t>开标地址：</w:t>
      </w:r>
      <w:r>
        <w:rPr>
          <w:rFonts w:hint="eastAsia" w:asciiTheme="minorEastAsia" w:hAnsiTheme="minorEastAsia" w:eastAsiaTheme="minorEastAsia" w:cstheme="minorEastAsia"/>
          <w:bCs/>
          <w:color w:val="0000FF"/>
          <w:sz w:val="24"/>
          <w:szCs w:val="24"/>
          <w:lang w:eastAsia="zh-CN"/>
        </w:rPr>
        <w:t>广西百色市</w:t>
      </w:r>
      <w:r>
        <w:rPr>
          <w:rFonts w:hint="eastAsia" w:asciiTheme="minorEastAsia" w:hAnsiTheme="minorEastAsia" w:eastAsiaTheme="minorEastAsia" w:cstheme="minorEastAsia"/>
          <w:bCs/>
          <w:color w:val="0000FF"/>
          <w:sz w:val="24"/>
          <w:szCs w:val="24"/>
          <w:lang w:val="en-US" w:eastAsia="zh-CN"/>
        </w:rPr>
        <w:t>右江区东增路188号吉利百矿集团有限公司</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邮编：533000</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Cs/>
          <w:color w:val="0000FF"/>
          <w:sz w:val="24"/>
          <w:szCs w:val="24"/>
          <w:lang w:val="en-US" w:eastAsia="zh-CN"/>
        </w:rPr>
      </w:pPr>
      <w:r>
        <w:rPr>
          <w:rFonts w:hint="eastAsia" w:asciiTheme="minorEastAsia" w:hAnsiTheme="minorEastAsia" w:eastAsiaTheme="minorEastAsia" w:cstheme="minorEastAsia"/>
          <w:bCs/>
          <w:color w:val="0000FF"/>
          <w:sz w:val="24"/>
          <w:szCs w:val="24"/>
          <w:lang w:val="en-US" w:eastAsia="zh-CN"/>
        </w:rPr>
        <w:t>商务</w:t>
      </w:r>
      <w:r>
        <w:rPr>
          <w:rFonts w:hint="eastAsia" w:asciiTheme="minorEastAsia" w:hAnsiTheme="minorEastAsia" w:cstheme="minorEastAsia"/>
          <w:bCs/>
          <w:color w:val="0000FF"/>
          <w:sz w:val="24"/>
          <w:szCs w:val="24"/>
          <w:lang w:val="en-US" w:eastAsia="zh-CN"/>
        </w:rPr>
        <w:t xml:space="preserve">：覃明亮   </w:t>
      </w:r>
      <w:r>
        <w:rPr>
          <w:rFonts w:hint="eastAsia" w:asciiTheme="minorEastAsia" w:hAnsiTheme="minorEastAsia" w:eastAsiaTheme="minorEastAsia" w:cstheme="minorEastAsia"/>
          <w:bCs/>
          <w:color w:val="0000FF"/>
          <w:sz w:val="24"/>
          <w:szCs w:val="24"/>
          <w:lang w:val="en-US" w:eastAsia="zh-CN"/>
        </w:rPr>
        <w:t>手机号</w:t>
      </w:r>
      <w:r>
        <w:rPr>
          <w:rFonts w:hint="eastAsia" w:asciiTheme="minorEastAsia" w:hAnsiTheme="minorEastAsia" w:cstheme="minorEastAsia"/>
          <w:bCs/>
          <w:color w:val="0000FF"/>
          <w:sz w:val="24"/>
          <w:szCs w:val="24"/>
          <w:lang w:val="en-US" w:eastAsia="zh-CN"/>
        </w:rPr>
        <w:t xml:space="preserve">：13617769606    </w:t>
      </w:r>
      <w:r>
        <w:rPr>
          <w:rFonts w:hint="eastAsia" w:asciiTheme="minorEastAsia" w:hAnsiTheme="minorEastAsia" w:eastAsiaTheme="minorEastAsia" w:cstheme="minorEastAsia"/>
          <w:bCs/>
          <w:color w:val="0000FF"/>
          <w:sz w:val="24"/>
          <w:szCs w:val="24"/>
          <w:lang w:val="en-US" w:eastAsia="zh-CN"/>
        </w:rPr>
        <w:t>E-mail :Mingliang.Tan</w:t>
      </w:r>
      <w:r>
        <w:rPr>
          <w:rFonts w:hint="eastAsia" w:asciiTheme="minorEastAsia" w:hAnsiTheme="minorEastAsia" w:cstheme="minorEastAsia"/>
          <w:bCs/>
          <w:color w:val="0000FF"/>
          <w:sz w:val="24"/>
          <w:szCs w:val="24"/>
          <w:lang w:val="en-US" w:eastAsia="zh-CN"/>
        </w:rPr>
        <w:t xml:space="preserve"> </w:t>
      </w:r>
      <w:r>
        <w:rPr>
          <w:rFonts w:hint="eastAsia" w:asciiTheme="minorEastAsia" w:hAnsiTheme="minorEastAsia" w:eastAsiaTheme="minorEastAsia" w:cstheme="minorEastAsia"/>
          <w:bCs/>
          <w:color w:val="0000FF"/>
          <w:sz w:val="24"/>
          <w:szCs w:val="24"/>
          <w:lang w:val="en-US" w:eastAsia="zh-CN"/>
        </w:rPr>
        <w:t>@geely.com</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0000FF"/>
          <w:sz w:val="24"/>
          <w:szCs w:val="24"/>
          <w:lang w:val="en-US" w:eastAsia="zh-CN"/>
        </w:rPr>
      </w:pPr>
      <w:r>
        <w:rPr>
          <w:rFonts w:hint="eastAsia" w:asciiTheme="minorEastAsia" w:hAnsiTheme="minorEastAsia" w:eastAsiaTheme="minorEastAsia" w:cstheme="minorEastAsia"/>
          <w:bCs/>
          <w:color w:val="0000FF"/>
          <w:sz w:val="24"/>
          <w:szCs w:val="24"/>
          <w:lang w:val="en-US" w:eastAsia="zh-CN"/>
        </w:rPr>
        <w:t>技术：</w:t>
      </w:r>
      <w:r>
        <w:rPr>
          <w:rFonts w:hint="eastAsia" w:asciiTheme="minorEastAsia" w:hAnsiTheme="minorEastAsia" w:cstheme="minorEastAsia"/>
          <w:bCs/>
          <w:color w:val="0000FF"/>
          <w:sz w:val="24"/>
          <w:szCs w:val="24"/>
          <w:lang w:val="en-US" w:eastAsia="zh-CN"/>
        </w:rPr>
        <w:t>梁淞尹</w:t>
      </w:r>
      <w:r>
        <w:rPr>
          <w:rFonts w:hint="eastAsia" w:asciiTheme="minorEastAsia" w:hAnsiTheme="minorEastAsia" w:eastAsiaTheme="minorEastAsia" w:cstheme="minorEastAsia"/>
          <w:bCs/>
          <w:color w:val="0000FF"/>
          <w:sz w:val="24"/>
          <w:szCs w:val="24"/>
          <w:lang w:val="en-US" w:eastAsia="zh-CN"/>
        </w:rPr>
        <w:t>  手机号</w:t>
      </w:r>
      <w:r>
        <w:rPr>
          <w:rFonts w:hint="eastAsia" w:asciiTheme="minorEastAsia" w:hAnsiTheme="minorEastAsia" w:cstheme="minorEastAsia"/>
          <w:bCs/>
          <w:color w:val="0000FF"/>
          <w:sz w:val="24"/>
          <w:szCs w:val="24"/>
          <w:lang w:val="en-US" w:eastAsia="zh-CN"/>
        </w:rPr>
        <w:t xml:space="preserve">：13407779927    </w:t>
      </w:r>
      <w:r>
        <w:rPr>
          <w:rFonts w:hint="eastAsia" w:asciiTheme="minorEastAsia" w:hAnsiTheme="minorEastAsia" w:eastAsiaTheme="minorEastAsia" w:cstheme="minorEastAsia"/>
          <w:bCs/>
          <w:color w:val="0000FF"/>
          <w:sz w:val="24"/>
          <w:szCs w:val="24"/>
          <w:lang w:val="en-US" w:eastAsia="zh-CN"/>
        </w:rPr>
        <w:t>E-mail :Songyin.Liang@geely.com</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开户名称：</w:t>
      </w:r>
      <w:r>
        <w:rPr>
          <w:rFonts w:hint="eastAsia" w:asciiTheme="minorEastAsia" w:hAnsiTheme="minorEastAsia" w:eastAsiaTheme="minorEastAsia" w:cstheme="minorEastAsia"/>
          <w:bCs/>
          <w:color w:val="0000FF"/>
          <w:sz w:val="24"/>
          <w:szCs w:val="24"/>
          <w:lang w:val="en-US" w:eastAsia="zh-CN"/>
        </w:rPr>
        <w:t>吉利百矿集团有限公司</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开户银行：</w:t>
      </w:r>
      <w:r>
        <w:rPr>
          <w:rFonts w:ascii="宋体" w:hAnsi="宋体" w:eastAsia="宋体" w:cs="宋体"/>
          <w:sz w:val="24"/>
          <w:szCs w:val="24"/>
          <w:highlight w:val="none"/>
        </w:rPr>
        <w:t>建设银行百色中山支行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val="en-US" w:eastAsia="zh-CN"/>
        </w:rPr>
        <w:t>帐 号：</w:t>
      </w:r>
      <w:r>
        <w:rPr>
          <w:rFonts w:ascii="宋体" w:hAnsi="宋体" w:eastAsia="宋体" w:cs="宋体"/>
          <w:sz w:val="24"/>
          <w:szCs w:val="24"/>
        </w:rPr>
        <w:t>45001676114050702700</w:t>
      </w:r>
      <w:r>
        <w:rPr>
          <w:rFonts w:hint="eastAsia" w:cs="Arial" w:asciiTheme="minorEastAsia" w:hAnsiTheme="minorEastAsia" w:eastAsiaTheme="minorEastAsia"/>
          <w:sz w:val="24"/>
          <w:szCs w:val="24"/>
          <w:highlight w:val="none"/>
        </w:rPr>
        <w:t xml:space="preserve"> </w:t>
      </w:r>
    </w:p>
    <w:p>
      <w:pPr>
        <w:pStyle w:val="4"/>
        <w:keepNext w:val="0"/>
        <w:keepLines w:val="0"/>
        <w:pageBreakBefore w:val="0"/>
        <w:kinsoku/>
        <w:overflowPunct/>
        <w:topLinePunct w:val="0"/>
        <w:bidi w:val="0"/>
        <w:snapToGrid/>
        <w:spacing w:line="360" w:lineRule="auto"/>
        <w:ind w:left="0" w:leftChars="0" w:firstLine="0" w:firstLineChars="0"/>
        <w:textAlignment w:val="auto"/>
        <w:rPr>
          <w:rFonts w:hint="eastAsia" w:asciiTheme="minorEastAsia" w:hAnsiTheme="minorEastAsia" w:eastAsiaTheme="minorEastAsia" w:cstheme="minorEastAsia"/>
          <w:color w:val="000000"/>
          <w:kern w:val="0"/>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注：无论投标结果如何，投标人自行承担所有与参加投标活动有关的全部费用。</w:t>
      </w:r>
    </w:p>
    <w:p>
      <w:pPr>
        <w:keepNext w:val="0"/>
        <w:keepLines w:val="0"/>
        <w:pageBreakBefore w:val="0"/>
        <w:widowControl/>
        <w:kinsoku/>
        <w:overflowPunct/>
        <w:topLinePunct w:val="0"/>
        <w:bidi w:val="0"/>
        <w:snapToGrid/>
        <w:spacing w:line="360" w:lineRule="auto"/>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p>
    <w:p>
      <w:pPr>
        <w:keepNext w:val="0"/>
        <w:keepLines w:val="0"/>
        <w:pageBreakBefore w:val="0"/>
        <w:widowControl/>
        <w:kinsoku/>
        <w:overflowPunct/>
        <w:topLinePunct w:val="0"/>
        <w:bidi w:val="0"/>
        <w:snapToGrid/>
        <w:spacing w:line="360" w:lineRule="auto"/>
        <w:ind w:firstLine="480" w:firstLineChars="2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投诉、举报电话：0571-28098168（吉利</w:t>
      </w:r>
      <w:r>
        <w:rPr>
          <w:rFonts w:hint="eastAsia" w:asciiTheme="minorEastAsia" w:hAnsiTheme="minorEastAsia" w:eastAsiaTheme="minorEastAsia" w:cstheme="minorEastAsia"/>
          <w:bCs/>
          <w:color w:val="0000FF"/>
          <w:sz w:val="24"/>
          <w:szCs w:val="24"/>
        </w:rPr>
        <w:t>科技</w:t>
      </w:r>
      <w:r>
        <w:rPr>
          <w:rFonts w:hint="eastAsia" w:asciiTheme="minorEastAsia" w:hAnsiTheme="minorEastAsia" w:cstheme="minorEastAsia"/>
          <w:bCs/>
          <w:color w:val="0000FF"/>
          <w:sz w:val="24"/>
          <w:szCs w:val="24"/>
          <w:lang w:val="en-US" w:eastAsia="zh-CN"/>
        </w:rPr>
        <w:t>供应链管理</w:t>
      </w:r>
      <w:r>
        <w:rPr>
          <w:rFonts w:hint="eastAsia" w:asciiTheme="minorEastAsia" w:hAnsiTheme="minorEastAsia" w:eastAsiaTheme="minorEastAsia" w:cstheme="minorEastAsia"/>
          <w:bCs/>
          <w:color w:val="0000FF"/>
          <w:sz w:val="24"/>
          <w:szCs w:val="24"/>
        </w:rPr>
        <w:t>部）</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Cs/>
          <w:sz w:val="24"/>
          <w:szCs w:val="24"/>
        </w:rPr>
        <w:t>举报邮箱：geelytech.bid@geely.com</w:t>
      </w:r>
      <w:r>
        <w:rPr>
          <w:rFonts w:hint="eastAsia" w:asciiTheme="minorEastAsia" w:hAnsiTheme="minorEastAsia" w:eastAsiaTheme="minorEastAsia" w:cstheme="minorEastAsia"/>
          <w:color w:val="000000"/>
          <w:kern w:val="0"/>
          <w:sz w:val="24"/>
          <w:szCs w:val="24"/>
        </w:rPr>
        <w:t xml:space="preserve">     </w:t>
      </w:r>
    </w:p>
    <w:p>
      <w:pPr>
        <w:keepNext w:val="0"/>
        <w:keepLines w:val="0"/>
        <w:pageBreakBefore w:val="0"/>
        <w:widowControl/>
        <w:kinsoku/>
        <w:overflowPunct/>
        <w:topLinePunct w:val="0"/>
        <w:bidi w:val="0"/>
        <w:snapToGrid/>
        <w:spacing w:line="360" w:lineRule="auto"/>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w:t>
      </w:r>
    </w:p>
    <w:p>
      <w:pPr>
        <w:pStyle w:val="2"/>
        <w:keepNext w:val="0"/>
        <w:keepLines w:val="0"/>
        <w:pageBreakBefore w:val="0"/>
        <w:kinsoku/>
        <w:overflowPunct/>
        <w:topLinePunct w:val="0"/>
        <w:bidi w:val="0"/>
        <w:snapToGrid/>
        <w:spacing w:line="360" w:lineRule="auto"/>
        <w:textAlignment w:val="auto"/>
        <w:rPr>
          <w:rFonts w:hint="eastAsia" w:asciiTheme="minorEastAsia" w:hAnsiTheme="minorEastAsia" w:eastAsiaTheme="minorEastAsia" w:cstheme="minorEastAsia"/>
        </w:rPr>
      </w:pPr>
    </w:p>
    <w:p>
      <w:pPr>
        <w:keepNext w:val="0"/>
        <w:keepLines w:val="0"/>
        <w:pageBreakBefore w:val="0"/>
        <w:widowControl/>
        <w:kinsoku/>
        <w:overflowPunct/>
        <w:topLinePunct w:val="0"/>
        <w:bidi w:val="0"/>
        <w:snapToGrid/>
        <w:spacing w:line="360" w:lineRule="auto"/>
        <w:ind w:firstLine="4080" w:firstLineChars="1700"/>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招标</w:t>
      </w:r>
      <w:r>
        <w:rPr>
          <w:rFonts w:hint="eastAsia" w:asciiTheme="minorEastAsia" w:hAnsiTheme="minorEastAsia" w:eastAsiaTheme="minorEastAsia" w:cstheme="minorEastAsia"/>
          <w:color w:val="000000"/>
          <w:kern w:val="0"/>
          <w:sz w:val="24"/>
          <w:szCs w:val="24"/>
          <w:lang w:val="en-US" w:eastAsia="zh-CN"/>
        </w:rPr>
        <w:t>组织单位</w:t>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bCs/>
          <w:sz w:val="24"/>
          <w:szCs w:val="24"/>
          <w:lang w:val="en-US" w:eastAsia="zh-CN"/>
        </w:rPr>
        <w:t>吉利百矿集团有限公司</w:t>
      </w:r>
      <w:r>
        <w:rPr>
          <w:rFonts w:hint="eastAsia" w:asciiTheme="minorEastAsia" w:hAnsiTheme="minorEastAsia" w:eastAsiaTheme="minorEastAsia" w:cstheme="minorEastAsia"/>
          <w:color w:val="000000"/>
          <w:kern w:val="0"/>
          <w:sz w:val="24"/>
          <w:szCs w:val="24"/>
        </w:rPr>
        <w:t xml:space="preserve"> </w:t>
      </w:r>
    </w:p>
    <w:p>
      <w:pPr>
        <w:keepNext w:val="0"/>
        <w:keepLines w:val="0"/>
        <w:pageBreakBefore w:val="0"/>
        <w:widowControl/>
        <w:kinsoku/>
        <w:overflowPunct/>
        <w:topLinePunct w:val="0"/>
        <w:bidi w:val="0"/>
        <w:snapToGrid/>
        <w:spacing w:line="360" w:lineRule="auto"/>
        <w:ind w:right="480" w:firstLine="5760" w:firstLineChars="2400"/>
        <w:jc w:val="both"/>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日期：</w:t>
      </w:r>
      <w:r>
        <w:rPr>
          <w:rFonts w:hint="eastAsia" w:asciiTheme="minorEastAsia" w:hAnsiTheme="minorEastAsia" w:eastAsiaTheme="minorEastAsia" w:cstheme="minorEastAsia"/>
          <w:color w:val="000000"/>
          <w:kern w:val="0"/>
          <w:sz w:val="24"/>
          <w:szCs w:val="24"/>
          <w:u w:val="none"/>
          <w:lang w:val="en-US" w:eastAsia="zh-CN"/>
        </w:rPr>
        <w:t>202</w:t>
      </w:r>
      <w:r>
        <w:rPr>
          <w:rFonts w:hint="eastAsia" w:asciiTheme="minorEastAsia" w:hAnsiTheme="minorEastAsia" w:cstheme="minorEastAsia"/>
          <w:color w:val="000000"/>
          <w:kern w:val="0"/>
          <w:sz w:val="24"/>
          <w:szCs w:val="24"/>
          <w:u w:val="none"/>
          <w:lang w:val="en-US" w:eastAsia="zh-CN"/>
        </w:rPr>
        <w:t>3</w:t>
      </w:r>
      <w:r>
        <w:rPr>
          <w:rFonts w:hint="eastAsia" w:asciiTheme="minorEastAsia" w:hAnsiTheme="minorEastAsia" w:eastAsiaTheme="minorEastAsia" w:cstheme="minorEastAsia"/>
          <w:color w:val="000000"/>
          <w:kern w:val="0"/>
          <w:sz w:val="24"/>
          <w:szCs w:val="24"/>
          <w:u w:val="none"/>
        </w:rPr>
        <w:t>年</w:t>
      </w:r>
      <w:r>
        <w:rPr>
          <w:rFonts w:hint="eastAsia" w:asciiTheme="minorEastAsia" w:hAnsiTheme="minorEastAsia" w:cstheme="minorEastAsia"/>
          <w:color w:val="000000"/>
          <w:kern w:val="0"/>
          <w:sz w:val="24"/>
          <w:szCs w:val="24"/>
          <w:u w:val="none"/>
          <w:lang w:val="en-US" w:eastAsia="zh-CN"/>
        </w:rPr>
        <w:t>4</w:t>
      </w:r>
      <w:r>
        <w:rPr>
          <w:rFonts w:hint="eastAsia" w:asciiTheme="minorEastAsia" w:hAnsiTheme="minorEastAsia" w:eastAsiaTheme="minorEastAsia" w:cstheme="minorEastAsia"/>
          <w:color w:val="000000"/>
          <w:kern w:val="0"/>
          <w:sz w:val="24"/>
          <w:szCs w:val="24"/>
          <w:u w:val="none"/>
        </w:rPr>
        <w:t>月</w:t>
      </w:r>
      <w:r>
        <w:rPr>
          <w:rFonts w:hint="eastAsia" w:asciiTheme="minorEastAsia" w:hAnsiTheme="minorEastAsia" w:cstheme="minorEastAsia"/>
          <w:color w:val="000000"/>
          <w:kern w:val="0"/>
          <w:sz w:val="24"/>
          <w:szCs w:val="24"/>
          <w:u w:val="none"/>
          <w:lang w:val="en-US" w:eastAsia="zh-CN"/>
        </w:rPr>
        <w:t>3</w:t>
      </w:r>
      <w:r>
        <w:rPr>
          <w:rFonts w:hint="eastAsia" w:asciiTheme="minorEastAsia" w:hAnsiTheme="minorEastAsia" w:eastAsiaTheme="minorEastAsia" w:cstheme="minorEastAsia"/>
          <w:color w:val="000000"/>
          <w:kern w:val="0"/>
          <w:sz w:val="24"/>
          <w:szCs w:val="24"/>
        </w:rPr>
        <w:t xml:space="preserve">日 </w:t>
      </w:r>
    </w:p>
    <w:p>
      <w:pPr>
        <w:pStyle w:val="2"/>
        <w:keepNext w:val="0"/>
        <w:keepLines w:val="0"/>
        <w:pageBreakBefore w:val="0"/>
        <w:kinsoku/>
        <w:overflowPunct/>
        <w:topLinePunct w:val="0"/>
        <w:bidi w:val="0"/>
        <w:snapToGrid/>
        <w:spacing w:line="360" w:lineRule="auto"/>
        <w:textAlignment w:val="auto"/>
        <w:rPr>
          <w:rFonts w:hint="eastAsia" w:asciiTheme="minorEastAsia" w:hAnsiTheme="minorEastAsia" w:eastAsiaTheme="minorEastAsia" w:cstheme="minorEastAsia"/>
          <w:color w:val="000000"/>
          <w:kern w:val="0"/>
          <w:sz w:val="24"/>
          <w:szCs w:val="24"/>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644" w:right="1474" w:bottom="1644" w:left="147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drawing>
        <wp:inline distT="0" distB="0" distL="0" distR="0">
          <wp:extent cx="1304290" cy="313690"/>
          <wp:effectExtent l="0" t="0" r="1016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04762" cy="31428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F04CD3"/>
    <w:multiLevelType w:val="multilevel"/>
    <w:tmpl w:val="1DF04CD3"/>
    <w:lvl w:ilvl="0" w:tentative="0">
      <w:start w:val="1"/>
      <w:numFmt w:val="chineseCounting"/>
      <w:pStyle w:val="3"/>
      <w:suff w:val="nothing"/>
      <w:lvlText w:val="%1、"/>
      <w:lvlJc w:val="left"/>
      <w:pPr>
        <w:ind w:left="142" w:firstLine="0"/>
      </w:pPr>
      <w:rPr>
        <w:rFonts w:hint="eastAsia"/>
        <w:lang w:val="en-US"/>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24" w:firstLine="402"/>
      </w:pPr>
      <w:rPr>
        <w:rFonts w:hint="eastAsia"/>
        <w:lang w:val="en-US"/>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57443E4E"/>
    <w:multiLevelType w:val="singleLevel"/>
    <w:tmpl w:val="57443E4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yNzk2OTc1NzE0MTIyZjMwZjQ3YTQ3OGU4Y2VmMTQ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1BD43D4"/>
    <w:rsid w:val="02704AC1"/>
    <w:rsid w:val="02D36DFE"/>
    <w:rsid w:val="02F05C02"/>
    <w:rsid w:val="03231B33"/>
    <w:rsid w:val="03B94246"/>
    <w:rsid w:val="044C50BA"/>
    <w:rsid w:val="04575F38"/>
    <w:rsid w:val="051F632A"/>
    <w:rsid w:val="05573D16"/>
    <w:rsid w:val="056B33BE"/>
    <w:rsid w:val="05917228"/>
    <w:rsid w:val="060914B4"/>
    <w:rsid w:val="06AD62E4"/>
    <w:rsid w:val="06FA0DFD"/>
    <w:rsid w:val="074C5900"/>
    <w:rsid w:val="085C7ED3"/>
    <w:rsid w:val="088E0696"/>
    <w:rsid w:val="08AB6853"/>
    <w:rsid w:val="08C96CD9"/>
    <w:rsid w:val="08FF7AB1"/>
    <w:rsid w:val="0A264FDB"/>
    <w:rsid w:val="0A821835"/>
    <w:rsid w:val="0ABE2949"/>
    <w:rsid w:val="0B0B71F2"/>
    <w:rsid w:val="0BE8391A"/>
    <w:rsid w:val="0CC25F19"/>
    <w:rsid w:val="0D620449"/>
    <w:rsid w:val="0D6E7E4F"/>
    <w:rsid w:val="0D8B6C53"/>
    <w:rsid w:val="0DA11FD2"/>
    <w:rsid w:val="0DAD2CD7"/>
    <w:rsid w:val="0E3E5A73"/>
    <w:rsid w:val="0EC0292C"/>
    <w:rsid w:val="0FCD67A9"/>
    <w:rsid w:val="104015EB"/>
    <w:rsid w:val="104F151A"/>
    <w:rsid w:val="11176339"/>
    <w:rsid w:val="115D4462"/>
    <w:rsid w:val="119A50FF"/>
    <w:rsid w:val="11CB7EDE"/>
    <w:rsid w:val="121E62E8"/>
    <w:rsid w:val="12631F4C"/>
    <w:rsid w:val="126D42BC"/>
    <w:rsid w:val="12CC5D44"/>
    <w:rsid w:val="132D28D1"/>
    <w:rsid w:val="13533C18"/>
    <w:rsid w:val="13A47DC9"/>
    <w:rsid w:val="13AC16D1"/>
    <w:rsid w:val="143E4A1F"/>
    <w:rsid w:val="14882798"/>
    <w:rsid w:val="14F01EBC"/>
    <w:rsid w:val="14FB46BE"/>
    <w:rsid w:val="15480128"/>
    <w:rsid w:val="15C745A0"/>
    <w:rsid w:val="15EA028F"/>
    <w:rsid w:val="161163B3"/>
    <w:rsid w:val="16E23F68"/>
    <w:rsid w:val="171862DF"/>
    <w:rsid w:val="1804388A"/>
    <w:rsid w:val="185005A0"/>
    <w:rsid w:val="18F02385"/>
    <w:rsid w:val="19114B2B"/>
    <w:rsid w:val="191E58E9"/>
    <w:rsid w:val="19912B49"/>
    <w:rsid w:val="199E386A"/>
    <w:rsid w:val="19AD03AC"/>
    <w:rsid w:val="19D159ED"/>
    <w:rsid w:val="1A2A3350"/>
    <w:rsid w:val="1A6A7BF0"/>
    <w:rsid w:val="1AAE5D2F"/>
    <w:rsid w:val="1AC86051"/>
    <w:rsid w:val="1B2A7AAB"/>
    <w:rsid w:val="1B2C45FF"/>
    <w:rsid w:val="1B4D379A"/>
    <w:rsid w:val="1B727D30"/>
    <w:rsid w:val="1BEE7832"/>
    <w:rsid w:val="1BF34341"/>
    <w:rsid w:val="1BFB3B7B"/>
    <w:rsid w:val="1CC21F65"/>
    <w:rsid w:val="1D254F04"/>
    <w:rsid w:val="1D5B0803"/>
    <w:rsid w:val="1DD05E17"/>
    <w:rsid w:val="1E4946EC"/>
    <w:rsid w:val="1E560BB7"/>
    <w:rsid w:val="1E6828C2"/>
    <w:rsid w:val="1E707955"/>
    <w:rsid w:val="1EBA2EF4"/>
    <w:rsid w:val="1EBD29E4"/>
    <w:rsid w:val="1EE33E26"/>
    <w:rsid w:val="1EF83A1C"/>
    <w:rsid w:val="1EFD247B"/>
    <w:rsid w:val="207E3A8B"/>
    <w:rsid w:val="20884DD6"/>
    <w:rsid w:val="20987265"/>
    <w:rsid w:val="20FB5A46"/>
    <w:rsid w:val="21411B3E"/>
    <w:rsid w:val="21CE2552"/>
    <w:rsid w:val="22597835"/>
    <w:rsid w:val="227E6175"/>
    <w:rsid w:val="228D6B72"/>
    <w:rsid w:val="23103A2A"/>
    <w:rsid w:val="23362A94"/>
    <w:rsid w:val="233D2346"/>
    <w:rsid w:val="235F22BC"/>
    <w:rsid w:val="23931F66"/>
    <w:rsid w:val="23952182"/>
    <w:rsid w:val="23A14683"/>
    <w:rsid w:val="243A0633"/>
    <w:rsid w:val="245F3CC4"/>
    <w:rsid w:val="2466767A"/>
    <w:rsid w:val="24B93C4E"/>
    <w:rsid w:val="250273A3"/>
    <w:rsid w:val="25565511"/>
    <w:rsid w:val="256F54C9"/>
    <w:rsid w:val="257F3DA3"/>
    <w:rsid w:val="25D8086D"/>
    <w:rsid w:val="25E371D4"/>
    <w:rsid w:val="25F56F08"/>
    <w:rsid w:val="26121868"/>
    <w:rsid w:val="26951A01"/>
    <w:rsid w:val="278F5981"/>
    <w:rsid w:val="27BB4E1D"/>
    <w:rsid w:val="29080D00"/>
    <w:rsid w:val="29242BE0"/>
    <w:rsid w:val="29464A87"/>
    <w:rsid w:val="29D74C27"/>
    <w:rsid w:val="2A080395"/>
    <w:rsid w:val="2A70441A"/>
    <w:rsid w:val="2A8B1BE9"/>
    <w:rsid w:val="2B710EEC"/>
    <w:rsid w:val="2BAB00F2"/>
    <w:rsid w:val="2C361647"/>
    <w:rsid w:val="2C815051"/>
    <w:rsid w:val="2CDD0DFD"/>
    <w:rsid w:val="2D1C7470"/>
    <w:rsid w:val="2D391DD0"/>
    <w:rsid w:val="2E132621"/>
    <w:rsid w:val="2E2D4F12"/>
    <w:rsid w:val="2E444588"/>
    <w:rsid w:val="2E756E38"/>
    <w:rsid w:val="2EC851B9"/>
    <w:rsid w:val="2ECB4CA9"/>
    <w:rsid w:val="2F7C41F6"/>
    <w:rsid w:val="2F936C13"/>
    <w:rsid w:val="30225BE6"/>
    <w:rsid w:val="30A25EDE"/>
    <w:rsid w:val="314D05FD"/>
    <w:rsid w:val="31D6122E"/>
    <w:rsid w:val="337E053C"/>
    <w:rsid w:val="338F274A"/>
    <w:rsid w:val="33B51036"/>
    <w:rsid w:val="33C543BD"/>
    <w:rsid w:val="33DF6B01"/>
    <w:rsid w:val="34120C85"/>
    <w:rsid w:val="355552CD"/>
    <w:rsid w:val="355E5C03"/>
    <w:rsid w:val="35A95619"/>
    <w:rsid w:val="35CF1523"/>
    <w:rsid w:val="36280C33"/>
    <w:rsid w:val="36B97ADD"/>
    <w:rsid w:val="37357877"/>
    <w:rsid w:val="37707056"/>
    <w:rsid w:val="37CD3840"/>
    <w:rsid w:val="37EA43F2"/>
    <w:rsid w:val="38402264"/>
    <w:rsid w:val="38B75F28"/>
    <w:rsid w:val="38BB18EB"/>
    <w:rsid w:val="39EE7A9E"/>
    <w:rsid w:val="3A557B1D"/>
    <w:rsid w:val="3A61257F"/>
    <w:rsid w:val="3B257AB2"/>
    <w:rsid w:val="3B8E6351"/>
    <w:rsid w:val="3BC74A4B"/>
    <w:rsid w:val="3BD72EE0"/>
    <w:rsid w:val="3C0417FB"/>
    <w:rsid w:val="3C4816E7"/>
    <w:rsid w:val="3C87272A"/>
    <w:rsid w:val="3D022264"/>
    <w:rsid w:val="3DD35929"/>
    <w:rsid w:val="3DDD2303"/>
    <w:rsid w:val="3F010273"/>
    <w:rsid w:val="3F044BD0"/>
    <w:rsid w:val="4015533D"/>
    <w:rsid w:val="40E462A3"/>
    <w:rsid w:val="41FF6CEC"/>
    <w:rsid w:val="42C46367"/>
    <w:rsid w:val="43803E5D"/>
    <w:rsid w:val="43F6451D"/>
    <w:rsid w:val="441A3B05"/>
    <w:rsid w:val="44254A04"/>
    <w:rsid w:val="446A2417"/>
    <w:rsid w:val="44906321"/>
    <w:rsid w:val="44EF75AD"/>
    <w:rsid w:val="44F95608"/>
    <w:rsid w:val="45D11D7F"/>
    <w:rsid w:val="45E306D3"/>
    <w:rsid w:val="469E5530"/>
    <w:rsid w:val="47097BFA"/>
    <w:rsid w:val="47207FB4"/>
    <w:rsid w:val="474927B8"/>
    <w:rsid w:val="47CD5197"/>
    <w:rsid w:val="480C3F11"/>
    <w:rsid w:val="48221986"/>
    <w:rsid w:val="484418FD"/>
    <w:rsid w:val="49F7258C"/>
    <w:rsid w:val="4A0B6AD9"/>
    <w:rsid w:val="4A286FFC"/>
    <w:rsid w:val="4A525E27"/>
    <w:rsid w:val="4AA228A6"/>
    <w:rsid w:val="4AC5484B"/>
    <w:rsid w:val="4BBB7216"/>
    <w:rsid w:val="4BF2341E"/>
    <w:rsid w:val="4C2555A1"/>
    <w:rsid w:val="4C8C3872"/>
    <w:rsid w:val="4C9652E0"/>
    <w:rsid w:val="4CDF1BF4"/>
    <w:rsid w:val="4D0B48F7"/>
    <w:rsid w:val="4E465CA3"/>
    <w:rsid w:val="4F0E056F"/>
    <w:rsid w:val="4F177749"/>
    <w:rsid w:val="50221019"/>
    <w:rsid w:val="50233675"/>
    <w:rsid w:val="505A6EF7"/>
    <w:rsid w:val="50782DA2"/>
    <w:rsid w:val="50A0169A"/>
    <w:rsid w:val="50A93B14"/>
    <w:rsid w:val="50EF617E"/>
    <w:rsid w:val="51587AAB"/>
    <w:rsid w:val="52195BA8"/>
    <w:rsid w:val="52320A18"/>
    <w:rsid w:val="52444543"/>
    <w:rsid w:val="527A416D"/>
    <w:rsid w:val="52E33975"/>
    <w:rsid w:val="536A5F90"/>
    <w:rsid w:val="53CE29C2"/>
    <w:rsid w:val="53F73CC7"/>
    <w:rsid w:val="54082AC5"/>
    <w:rsid w:val="54AD6A7C"/>
    <w:rsid w:val="55393E6B"/>
    <w:rsid w:val="55977C8C"/>
    <w:rsid w:val="55CE6CAA"/>
    <w:rsid w:val="56206DD9"/>
    <w:rsid w:val="562B5EAA"/>
    <w:rsid w:val="56770197"/>
    <w:rsid w:val="56CF0F2B"/>
    <w:rsid w:val="57511940"/>
    <w:rsid w:val="5800629E"/>
    <w:rsid w:val="58360B36"/>
    <w:rsid w:val="58474AF1"/>
    <w:rsid w:val="598B1388"/>
    <w:rsid w:val="59CA6531"/>
    <w:rsid w:val="5A427C66"/>
    <w:rsid w:val="5A560C06"/>
    <w:rsid w:val="5A7871E4"/>
    <w:rsid w:val="5AF50835"/>
    <w:rsid w:val="5AFC1BC3"/>
    <w:rsid w:val="5B5A2D8E"/>
    <w:rsid w:val="5B5C4D58"/>
    <w:rsid w:val="5B7A2D2A"/>
    <w:rsid w:val="5B885338"/>
    <w:rsid w:val="5C5F76AC"/>
    <w:rsid w:val="5D0C00B7"/>
    <w:rsid w:val="5D1229F6"/>
    <w:rsid w:val="5D191EE4"/>
    <w:rsid w:val="5DA0717E"/>
    <w:rsid w:val="5DA16A52"/>
    <w:rsid w:val="5DAC5407"/>
    <w:rsid w:val="5DBC388C"/>
    <w:rsid w:val="5DD873C5"/>
    <w:rsid w:val="5E111E29"/>
    <w:rsid w:val="5E143B9D"/>
    <w:rsid w:val="5EA507C4"/>
    <w:rsid w:val="5EF77271"/>
    <w:rsid w:val="5FF9343A"/>
    <w:rsid w:val="60261490"/>
    <w:rsid w:val="602A2D2E"/>
    <w:rsid w:val="60341DFF"/>
    <w:rsid w:val="60367925"/>
    <w:rsid w:val="604373DC"/>
    <w:rsid w:val="60FA4DF7"/>
    <w:rsid w:val="61857323"/>
    <w:rsid w:val="61AC366C"/>
    <w:rsid w:val="61F5736C"/>
    <w:rsid w:val="62255EED"/>
    <w:rsid w:val="62B45479"/>
    <w:rsid w:val="62D578C9"/>
    <w:rsid w:val="62E73159"/>
    <w:rsid w:val="62F0676B"/>
    <w:rsid w:val="63355996"/>
    <w:rsid w:val="63EA165A"/>
    <w:rsid w:val="63F060F6"/>
    <w:rsid w:val="64412D3D"/>
    <w:rsid w:val="64A03E97"/>
    <w:rsid w:val="65A92947"/>
    <w:rsid w:val="65CB4FB4"/>
    <w:rsid w:val="6659611C"/>
    <w:rsid w:val="66687BD6"/>
    <w:rsid w:val="66A3023B"/>
    <w:rsid w:val="66B5531C"/>
    <w:rsid w:val="67236508"/>
    <w:rsid w:val="673D5A3D"/>
    <w:rsid w:val="674D7224"/>
    <w:rsid w:val="67A96C2F"/>
    <w:rsid w:val="67F30DFB"/>
    <w:rsid w:val="68800A5E"/>
    <w:rsid w:val="68B910F3"/>
    <w:rsid w:val="68C220FE"/>
    <w:rsid w:val="691E5E0D"/>
    <w:rsid w:val="693C3AD3"/>
    <w:rsid w:val="694E1541"/>
    <w:rsid w:val="69977CA6"/>
    <w:rsid w:val="6A415844"/>
    <w:rsid w:val="6C1F3963"/>
    <w:rsid w:val="6C901436"/>
    <w:rsid w:val="6CD56718"/>
    <w:rsid w:val="6CEF53EE"/>
    <w:rsid w:val="6D1C4347"/>
    <w:rsid w:val="6D244BEF"/>
    <w:rsid w:val="6D341690"/>
    <w:rsid w:val="6D54763D"/>
    <w:rsid w:val="6DC26C9C"/>
    <w:rsid w:val="6EA445F4"/>
    <w:rsid w:val="6EF966EE"/>
    <w:rsid w:val="6F046E40"/>
    <w:rsid w:val="6FBE2D2E"/>
    <w:rsid w:val="70645DE9"/>
    <w:rsid w:val="70912956"/>
    <w:rsid w:val="709D6190"/>
    <w:rsid w:val="70A408DB"/>
    <w:rsid w:val="71461992"/>
    <w:rsid w:val="716F713B"/>
    <w:rsid w:val="71F47640"/>
    <w:rsid w:val="72191F18"/>
    <w:rsid w:val="72875A1B"/>
    <w:rsid w:val="72F62F44"/>
    <w:rsid w:val="7343262D"/>
    <w:rsid w:val="739C7F8F"/>
    <w:rsid w:val="73B726D3"/>
    <w:rsid w:val="740262AF"/>
    <w:rsid w:val="74687E72"/>
    <w:rsid w:val="74734F18"/>
    <w:rsid w:val="74D3353D"/>
    <w:rsid w:val="758807CB"/>
    <w:rsid w:val="75F66E51"/>
    <w:rsid w:val="76D812DE"/>
    <w:rsid w:val="76EE0B02"/>
    <w:rsid w:val="76F854DD"/>
    <w:rsid w:val="76FE5C96"/>
    <w:rsid w:val="77935205"/>
    <w:rsid w:val="782C60B0"/>
    <w:rsid w:val="78404076"/>
    <w:rsid w:val="78570929"/>
    <w:rsid w:val="792A5A7B"/>
    <w:rsid w:val="79FD2E0A"/>
    <w:rsid w:val="7A0F3269"/>
    <w:rsid w:val="7A1E7F83"/>
    <w:rsid w:val="7A2B5FDD"/>
    <w:rsid w:val="7A3E3B4E"/>
    <w:rsid w:val="7AAC6D0A"/>
    <w:rsid w:val="7ACA231F"/>
    <w:rsid w:val="7B4A41EC"/>
    <w:rsid w:val="7B4E1B6F"/>
    <w:rsid w:val="7B705F89"/>
    <w:rsid w:val="7B7F7F7B"/>
    <w:rsid w:val="7BB52A4E"/>
    <w:rsid w:val="7BC725E4"/>
    <w:rsid w:val="7BD17A9C"/>
    <w:rsid w:val="7C2154D6"/>
    <w:rsid w:val="7C945CA8"/>
    <w:rsid w:val="7CD70323"/>
    <w:rsid w:val="7D44147C"/>
    <w:rsid w:val="7E33329E"/>
    <w:rsid w:val="7ED22AB7"/>
    <w:rsid w:val="7F5F07EF"/>
    <w:rsid w:val="7FB14DC3"/>
    <w:rsid w:val="7FBA3C77"/>
    <w:rsid w:val="7FD73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numPr>
        <w:ilvl w:val="0"/>
        <w:numId w:val="1"/>
      </w:numPr>
      <w:tabs>
        <w:tab w:val="left" w:pos="0"/>
        <w:tab w:val="left" w:pos="425"/>
      </w:tabs>
      <w:adjustRightInd w:val="0"/>
      <w:snapToGrid w:val="0"/>
      <w:spacing w:line="360" w:lineRule="auto"/>
      <w:ind w:left="0"/>
      <w:outlineLvl w:val="0"/>
    </w:pPr>
    <w:rPr>
      <w:rFonts w:ascii="Times New Roman" w:hAnsi="Times New Roman" w:eastAsia="宋体" w:cs="Times New Roman"/>
      <w:kern w:val="44"/>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table of authorities"/>
    <w:basedOn w:val="1"/>
    <w:next w:val="1"/>
    <w:qFormat/>
    <w:uiPriority w:val="0"/>
    <w:pPr>
      <w:ind w:left="200" w:leftChars="200"/>
    </w:pPr>
  </w:style>
  <w:style w:type="paragraph" w:styleId="5">
    <w:name w:val="annotation text"/>
    <w:basedOn w:val="1"/>
    <w:link w:val="23"/>
    <w:semiHidden/>
    <w:unhideWhenUsed/>
    <w:qFormat/>
    <w:uiPriority w:val="99"/>
    <w:pPr>
      <w:jc w:val="left"/>
    </w:pPr>
  </w:style>
  <w:style w:type="paragraph" w:styleId="6">
    <w:name w:val="Date"/>
    <w:basedOn w:val="1"/>
    <w:next w:val="1"/>
    <w:link w:val="21"/>
    <w:semiHidden/>
    <w:unhideWhenUsed/>
    <w:qFormat/>
    <w:uiPriority w:val="99"/>
    <w:pPr>
      <w:ind w:left="100" w:leftChars="2500"/>
    </w:pPr>
  </w:style>
  <w:style w:type="paragraph" w:styleId="7">
    <w:name w:val="Balloon Text"/>
    <w:basedOn w:val="1"/>
    <w:link w:val="24"/>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FollowedHyperlink"/>
    <w:basedOn w:val="13"/>
    <w:semiHidden/>
    <w:unhideWhenUsed/>
    <w:qFormat/>
    <w:uiPriority w:val="99"/>
    <w:rPr>
      <w:color w:val="800080" w:themeColor="followedHyperlink"/>
      <w:u w:val="single"/>
      <w14:textFill>
        <w14:solidFill>
          <w14:schemeClr w14:val="folHlink"/>
        </w14:solidFill>
      </w14:textFill>
    </w:rPr>
  </w:style>
  <w:style w:type="character" w:styleId="16">
    <w:name w:val="Emphasis"/>
    <w:basedOn w:val="13"/>
    <w:qFormat/>
    <w:uiPriority w:val="20"/>
    <w:rPr>
      <w:i/>
    </w:rPr>
  </w:style>
  <w:style w:type="character" w:styleId="17">
    <w:name w:val="Hyperlink"/>
    <w:basedOn w:val="13"/>
    <w:semiHidden/>
    <w:unhideWhenUsed/>
    <w:qFormat/>
    <w:uiPriority w:val="99"/>
    <w:rPr>
      <w:color w:val="0000FF"/>
      <w:u w:val="none"/>
    </w:rPr>
  </w:style>
  <w:style w:type="character" w:styleId="18">
    <w:name w:val="annotation reference"/>
    <w:basedOn w:val="13"/>
    <w:semiHidden/>
    <w:unhideWhenUsed/>
    <w:qFormat/>
    <w:uiPriority w:val="99"/>
    <w:rPr>
      <w:sz w:val="21"/>
      <w:szCs w:val="21"/>
    </w:rPr>
  </w:style>
  <w:style w:type="character" w:customStyle="1" w:styleId="19">
    <w:name w:val="页眉 Char"/>
    <w:basedOn w:val="13"/>
    <w:link w:val="9"/>
    <w:qFormat/>
    <w:uiPriority w:val="99"/>
    <w:rPr>
      <w:sz w:val="18"/>
      <w:szCs w:val="18"/>
    </w:rPr>
  </w:style>
  <w:style w:type="character" w:customStyle="1" w:styleId="20">
    <w:name w:val="页脚 Char"/>
    <w:basedOn w:val="13"/>
    <w:link w:val="8"/>
    <w:qFormat/>
    <w:uiPriority w:val="99"/>
    <w:rPr>
      <w:sz w:val="18"/>
      <w:szCs w:val="18"/>
    </w:rPr>
  </w:style>
  <w:style w:type="character" w:customStyle="1" w:styleId="21">
    <w:name w:val="日期 Char"/>
    <w:basedOn w:val="13"/>
    <w:link w:val="6"/>
    <w:semiHidden/>
    <w:qFormat/>
    <w:uiPriority w:val="99"/>
  </w:style>
  <w:style w:type="paragraph" w:styleId="22">
    <w:name w:val="List Paragraph"/>
    <w:basedOn w:val="1"/>
    <w:qFormat/>
    <w:uiPriority w:val="34"/>
    <w:pPr>
      <w:ind w:firstLine="420" w:firstLineChars="200"/>
    </w:pPr>
  </w:style>
  <w:style w:type="character" w:customStyle="1" w:styleId="23">
    <w:name w:val="批注文字 Char"/>
    <w:basedOn w:val="13"/>
    <w:link w:val="5"/>
    <w:semiHidden/>
    <w:qFormat/>
    <w:uiPriority w:val="99"/>
  </w:style>
  <w:style w:type="character" w:customStyle="1" w:styleId="24">
    <w:name w:val="批注框文本 Char"/>
    <w:basedOn w:val="13"/>
    <w:link w:val="7"/>
    <w:semiHidden/>
    <w:qFormat/>
    <w:uiPriority w:val="99"/>
    <w:rPr>
      <w:sz w:val="18"/>
      <w:szCs w:val="18"/>
    </w:rPr>
  </w:style>
  <w:style w:type="paragraph" w:customStyle="1" w:styleId="25">
    <w:name w:val="普通(网站)1"/>
    <w:basedOn w:val="1"/>
    <w:qFormat/>
    <w:uiPriority w:val="0"/>
    <w:pPr>
      <w:spacing w:before="100" w:beforeAutospacing="1" w:after="100" w:afterAutospacing="1"/>
    </w:pPr>
    <w:rPr>
      <w:rFonts w:ascii="宋体" w:hAnsi="宋体"/>
      <w:sz w:val="24"/>
    </w:rPr>
  </w:style>
  <w:style w:type="paragraph" w:customStyle="1" w:styleId="26">
    <w:name w:val="z0"/>
    <w:basedOn w:val="1"/>
    <w:qFormat/>
    <w:uiPriority w:val="0"/>
    <w:pPr>
      <w:spacing w:line="360" w:lineRule="auto"/>
      <w:ind w:firstLine="200" w:firstLineChars="200"/>
    </w:pPr>
    <w:rPr>
      <w:rFonts w:ascii="宋体" w:hAnsi="宋体" w:eastAsia="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bm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1533</Words>
  <Characters>1759</Characters>
  <Lines>13</Lines>
  <Paragraphs>3</Paragraphs>
  <TotalTime>1</TotalTime>
  <ScaleCrop>false</ScaleCrop>
  <LinksUpToDate>false</LinksUpToDate>
  <CharactersWithSpaces>1861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相聚</cp:lastModifiedBy>
  <dcterms:modified xsi:type="dcterms:W3CDTF">2023-04-03T02:47:13Z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15FBEB6628D249ABB805F15B57FC4A6D</vt:lpwstr>
  </property>
</Properties>
</file>