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0" w:after="0" w:line="360" w:lineRule="auto"/>
        <w:ind w:left="0" w:right="0" w:firstLine="0"/>
        <w:jc w:val="center"/>
        <w:rPr>
          <w:rFonts w:hint="eastAsia" w:ascii="宋体" w:hAnsi="宋体" w:eastAsia="宋体" w:cs="宋体"/>
          <w:b/>
          <w:color w:val="000000"/>
          <w:spacing w:val="0"/>
          <w:position w:val="0"/>
          <w:sz w:val="4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44"/>
          <w:shd w:val="clear" w:color="auto" w:fill="auto"/>
        </w:rPr>
        <w:t>东怀</w:t>
      </w: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44"/>
          <w:shd w:val="clear" w:color="auto" w:fill="auto"/>
          <w:lang w:val="en-US" w:eastAsia="zh-CN"/>
        </w:rPr>
        <w:t>煤矿</w:t>
      </w: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44"/>
          <w:shd w:val="clear" w:color="auto" w:fill="auto"/>
        </w:rPr>
        <w:t>地面变电站供电改造</w:t>
      </w: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44"/>
          <w:shd w:val="clear" w:color="auto" w:fill="auto"/>
          <w:lang w:val="en-US" w:eastAsia="zh-CN"/>
        </w:rPr>
        <w:t>设计</w:t>
      </w: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44"/>
          <w:shd w:val="clear" w:color="auto" w:fill="auto"/>
        </w:rPr>
        <w:t>项目</w:t>
      </w:r>
    </w:p>
    <w:p>
      <w:pPr>
        <w:keepNext/>
        <w:keepLines/>
        <w:spacing w:before="0" w:after="0" w:line="360" w:lineRule="auto"/>
        <w:ind w:left="0" w:right="0" w:firstLine="0"/>
        <w:jc w:val="center"/>
        <w:rPr>
          <w:rFonts w:hint="eastAsia" w:ascii="宋体" w:hAnsi="宋体" w:eastAsia="宋体" w:cs="宋体"/>
          <w:b/>
          <w:color w:val="000000"/>
          <w:spacing w:val="0"/>
          <w:position w:val="0"/>
          <w:sz w:val="44"/>
          <w:shd w:val="clear" w:color="auto" w:fill="auto"/>
        </w:rPr>
      </w:pP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44"/>
          <w:shd w:val="clear" w:color="auto" w:fill="auto"/>
        </w:rPr>
        <w:t>技术任务书</w:t>
      </w:r>
    </w:p>
    <w:p>
      <w:pPr>
        <w:spacing w:before="78" w:after="78" w:line="360" w:lineRule="auto"/>
        <w:ind w:left="0" w:right="0" w:firstLine="0"/>
        <w:jc w:val="left"/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</w:pPr>
    </w:p>
    <w:p>
      <w:pPr>
        <w:spacing w:before="78" w:after="78" w:line="360" w:lineRule="auto"/>
        <w:ind w:left="0" w:right="0" w:firstLine="480"/>
        <w:jc w:val="left"/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  <w:t>甲方（全称）：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  广西东怀矿业有限责任公司  </w:t>
      </w:r>
    </w:p>
    <w:p>
      <w:pPr>
        <w:spacing w:before="78" w:after="78" w:line="360" w:lineRule="auto"/>
        <w:ind w:left="0" w:right="0" w:firstLine="480"/>
        <w:jc w:val="left"/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  <w:t>乙方（全称）：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                            </w:t>
      </w:r>
    </w:p>
    <w:p>
      <w:pPr>
        <w:spacing w:before="78" w:after="78" w:line="360" w:lineRule="auto"/>
        <w:ind w:left="0" w:right="0" w:firstLine="0"/>
        <w:jc w:val="left"/>
        <w:rPr>
          <w:rFonts w:hint="eastAsia" w:ascii="宋体" w:hAnsi="宋体" w:eastAsia="宋体" w:cs="宋体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24"/>
          <w:shd w:val="clear" w:color="auto" w:fill="auto"/>
        </w:rPr>
        <w:t>一、项目概况</w:t>
      </w:r>
    </w:p>
    <w:p>
      <w:pPr>
        <w:spacing w:before="78" w:after="78" w:line="360" w:lineRule="auto"/>
        <w:ind w:left="0" w:right="0" w:firstLine="480"/>
        <w:jc w:val="left"/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  <w:t>项目名称：东怀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  <w:lang w:val="en-US" w:eastAsia="zh-CN"/>
        </w:rPr>
        <w:t>煤矿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  <w:t>地面变电站供电改造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  <w:lang w:val="en-US" w:eastAsia="zh-CN"/>
        </w:rPr>
        <w:t>设计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  <w:t>项目</w:t>
      </w:r>
    </w:p>
    <w:p>
      <w:pPr>
        <w:spacing w:before="78" w:after="78" w:line="360" w:lineRule="auto"/>
        <w:ind w:left="0" w:right="0" w:firstLine="480"/>
        <w:jc w:val="left"/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  <w:t>项目地点： 广西百色市右江区东增路</w:t>
      </w:r>
    </w:p>
    <w:p>
      <w:pPr>
        <w:spacing w:before="78" w:after="78" w:line="360" w:lineRule="auto"/>
        <w:ind w:left="0" w:right="0" w:firstLine="480"/>
        <w:jc w:val="left"/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  <w:t>项目内容：本项目是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  <w:t>东怀煤矿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  <w:lang w:val="en-US" w:eastAsia="zh-CN"/>
        </w:rPr>
        <w:t>35KV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  <w:t>地面变电站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  <w:lang w:val="en-US" w:eastAsia="zh-CN"/>
        </w:rPr>
        <w:t>供电系统改造工程进行电力设计，主要是对变电站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  <w:t>原有的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  <w:lang w:val="en-US" w:eastAsia="zh-CN"/>
        </w:rPr>
        <w:t>两回路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  <w:t>35KV电源进行改造，增加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  <w:lang w:val="en-US" w:eastAsia="zh-CN"/>
        </w:rPr>
        <w:t>一套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  <w:t>35KV外桥联络和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  <w:lang w:val="en-US" w:eastAsia="zh-CN"/>
        </w:rPr>
        <w:t>两台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  <w:t>站用变压器，以及更换两套主变测控屏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  <w:t>改造工程需有资质的设计单位进行方案设计，</w:t>
      </w:r>
      <w:r>
        <w:rPr>
          <w:rFonts w:hint="eastAsia" w:ascii="宋体" w:hAnsi="宋体" w:cs="宋体"/>
          <w:color w:val="000000"/>
          <w:spacing w:val="0"/>
          <w:position w:val="0"/>
          <w:sz w:val="24"/>
          <w:shd w:val="clear" w:color="auto" w:fill="auto"/>
          <w:lang w:val="en-US" w:eastAsia="zh-CN"/>
        </w:rPr>
        <w:t>并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  <w:lang w:val="en-US" w:eastAsia="zh-CN"/>
        </w:rPr>
        <w:t>通过广西百色能源投资发展集团有限公司</w:t>
      </w:r>
      <w:r>
        <w:rPr>
          <w:rFonts w:hint="eastAsia" w:ascii="宋体" w:hAnsi="宋体" w:cs="宋体"/>
          <w:color w:val="000000"/>
          <w:spacing w:val="0"/>
          <w:position w:val="0"/>
          <w:sz w:val="24"/>
          <w:shd w:val="clear" w:color="auto" w:fill="auto"/>
          <w:lang w:val="en-US" w:eastAsia="zh-CN"/>
        </w:rPr>
        <w:t>审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  <w:t>批。</w:t>
      </w:r>
    </w:p>
    <w:p>
      <w:pPr>
        <w:spacing w:before="78" w:after="78" w:line="360" w:lineRule="auto"/>
        <w:ind w:left="0" w:right="0" w:firstLine="0"/>
        <w:jc w:val="left"/>
        <w:rPr>
          <w:rFonts w:hint="eastAsia" w:ascii="宋体" w:hAnsi="宋体" w:eastAsia="宋体" w:cs="宋体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24"/>
          <w:shd w:val="clear" w:color="auto" w:fill="auto"/>
        </w:rPr>
        <w:t>二、</w:t>
      </w:r>
      <w:r>
        <w:rPr>
          <w:rFonts w:hint="eastAsia" w:ascii="宋体" w:hAnsi="宋体" w:cs="宋体"/>
          <w:b/>
          <w:color w:val="000000"/>
          <w:spacing w:val="0"/>
          <w:position w:val="0"/>
          <w:sz w:val="24"/>
          <w:shd w:val="clear" w:color="auto" w:fill="auto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24"/>
          <w:shd w:val="clear" w:color="auto" w:fill="auto"/>
        </w:rPr>
        <w:t>清单</w:t>
      </w:r>
    </w:p>
    <w:tbl>
      <w:tblPr>
        <w:tblStyle w:val="4"/>
        <w:tblW w:w="8961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5"/>
        <w:gridCol w:w="1696"/>
        <w:gridCol w:w="1960"/>
        <w:gridCol w:w="770"/>
        <w:gridCol w:w="790"/>
        <w:gridCol w:w="29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color="auto" w:fill="auto"/>
              </w:rPr>
              <w:t>名称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8"/>
                <w:shd w:val="clear" w:color="auto" w:fill="auto"/>
                <w:lang w:val="en-US" w:eastAsia="zh-CN"/>
              </w:rPr>
              <w:t>主要内容</w:t>
            </w:r>
          </w:p>
        </w:tc>
        <w:tc>
          <w:tcPr>
            <w:tcW w:w="770" w:type="dxa"/>
            <w:tcBorders>
              <w:top w:val="single" w:color="000000" w:sz="8" w:space="0"/>
              <w:left w:val="single" w:color="000000" w:sz="4" w:space="0"/>
              <w:bottom w:val="single" w:color="000000" w:sz="0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color="auto" w:fill="auto"/>
              </w:rPr>
              <w:t>单位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color="auto" w:fill="auto"/>
              </w:rPr>
              <w:t>数量</w:t>
            </w:r>
          </w:p>
        </w:tc>
        <w:tc>
          <w:tcPr>
            <w:tcW w:w="2920" w:type="dxa"/>
            <w:tcBorders>
              <w:top w:val="single" w:color="000000" w:sz="8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color="auto" w:fill="auto"/>
              </w:rPr>
              <w:t>备  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color="auto" w:fill="auto"/>
              </w:rPr>
              <w:t>1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color="auto" w:fill="auto"/>
              </w:rPr>
              <w:t>东怀煤矿地面变电站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>供电改造设计项目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color="auto" w:fill="auto"/>
              </w:rPr>
              <w:t>增加35KV外桥联络和站用变压器，以及更换两套主变测控屏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color="auto" w:fill="auto"/>
                <w:lang w:eastAsia="zh-CN"/>
              </w:rPr>
              <w:t>。</w:t>
            </w:r>
          </w:p>
        </w:tc>
        <w:tc>
          <w:tcPr>
            <w:tcW w:w="77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>项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9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pacing w:val="0"/>
                <w:position w:val="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>此项目为工程设计，含设计勘察、工程概算、评审、盖章的全部费用，不包含项目内的设备材料采购及安装费用。</w:t>
            </w:r>
          </w:p>
        </w:tc>
      </w:tr>
    </w:tbl>
    <w:p>
      <w:pPr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b/>
          <w:color w:val="000000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24"/>
          <w:shd w:val="clear" w:color="auto" w:fill="auto"/>
        </w:rPr>
        <w:t>三、设计所遵循的</w:t>
      </w: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24"/>
          <w:shd w:val="clear" w:color="auto" w:fill="auto"/>
          <w:lang w:val="en-US" w:eastAsia="zh-CN"/>
        </w:rPr>
        <w:t>标准、规范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1、《煤矿安全规程》（2022）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、GB/T  1094-2013     电力变压器；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GB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50260-2013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电力设施抗震设计规范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、GB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50059－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2011  35～110变电所设计规范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、GB  50150-2016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电气装置安装工程电气设备交接试验标准</w:t>
      </w:r>
    </w:p>
    <w:p>
      <w:pPr>
        <w:keepNext/>
        <w:keepLines/>
        <w:spacing w:before="0" w:after="0" w:line="240" w:lineRule="auto"/>
        <w:ind w:left="0" w:right="0" w:firstLine="482"/>
        <w:jc w:val="both"/>
        <w:rPr>
          <w:rFonts w:hint="eastAsia" w:ascii="宋体" w:hAnsi="宋体" w:eastAsia="宋体" w:cs="宋体"/>
          <w:b/>
          <w:color w:val="000000"/>
          <w:spacing w:val="0"/>
          <w:position w:val="0"/>
          <w:sz w:val="24"/>
          <w:shd w:val="clear" w:color="auto" w:fill="auto"/>
        </w:rPr>
      </w:pPr>
    </w:p>
    <w:p>
      <w:pPr>
        <w:keepNext/>
        <w:keepLines/>
        <w:spacing w:before="0" w:after="0" w:line="360" w:lineRule="auto"/>
        <w:ind w:right="0"/>
        <w:jc w:val="both"/>
        <w:rPr>
          <w:rFonts w:hint="eastAsia" w:ascii="宋体" w:hAnsi="宋体" w:eastAsia="宋体" w:cs="宋体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24"/>
          <w:shd w:val="clear" w:color="auto" w:fill="auto"/>
        </w:rPr>
        <w:t>四、</w:t>
      </w:r>
      <w:r>
        <w:rPr>
          <w:rFonts w:hint="eastAsia" w:ascii="宋体" w:hAnsi="宋体" w:cs="宋体"/>
          <w:b/>
          <w:color w:val="000000"/>
          <w:spacing w:val="0"/>
          <w:position w:val="0"/>
          <w:sz w:val="24"/>
          <w:shd w:val="clear" w:color="auto" w:fill="auto"/>
          <w:lang w:val="en-US" w:eastAsia="zh-CN"/>
        </w:rPr>
        <w:t>技术</w:t>
      </w: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24"/>
          <w:shd w:val="clear" w:color="auto" w:fill="auto"/>
        </w:rPr>
        <w:t>要求</w:t>
      </w:r>
    </w:p>
    <w:p>
      <w:pPr>
        <w:numPr>
          <w:ilvl w:val="0"/>
          <w:numId w:val="0"/>
        </w:numPr>
        <w:spacing w:line="480" w:lineRule="exact"/>
        <w:ind w:firstLine="480" w:firstLineChars="200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必须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具备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电力行业（变电工程、送电工程）专业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lang w:val="en-US" w:eastAsia="zh-CN"/>
        </w:rPr>
        <w:t>丙级及以上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有效资质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（即35KV电压等级以上）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且应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近3年内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同类项目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个及以上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设计业绩。</w:t>
      </w:r>
    </w:p>
    <w:p>
      <w:pPr>
        <w:numPr>
          <w:ilvl w:val="0"/>
          <w:numId w:val="0"/>
        </w:numPr>
        <w:spacing w:line="480" w:lineRule="exact"/>
        <w:ind w:firstLine="480" w:firstLineChars="200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2、乙方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跟甲方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签订设计合同后，需在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个工作日内完成方案设计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和审批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方案需先获得甲方认可，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并通过广西百色能源投资发展集团有限公司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（原百色电力公司）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（乙方负责送审）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，特殊情况不能按时完成的，需及时跟甲方汇报，协商解决办法，否则按违约处理。</w:t>
      </w:r>
    </w:p>
    <w:p>
      <w:pPr>
        <w:numPr>
          <w:ilvl w:val="0"/>
          <w:numId w:val="0"/>
        </w:numPr>
        <w:spacing w:line="480" w:lineRule="exact"/>
        <w:ind w:firstLine="480" w:firstLineChars="200"/>
        <w:textAlignment w:val="bottom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3、乙方所做的设计方案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必须结合甲方现有场地进行设计，原则上不能超出甲方地界，乙方必须与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甲方技术人员保持沟通，择用最佳方案；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工程设计所选用的设备、材料必须经甲方认可，按当前合理的价格做工程概算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spacing w:line="480" w:lineRule="exact"/>
        <w:ind w:firstLine="480" w:firstLineChars="200"/>
        <w:textAlignment w:val="bottom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本项目设计方案通过审批后，乙方需提供三套纸质盖章版的设计图纸和工程概算表，以及一套电子版材料。</w:t>
      </w:r>
    </w:p>
    <w:p>
      <w:pPr>
        <w:pStyle w:val="3"/>
        <w:numPr>
          <w:ilvl w:val="0"/>
          <w:numId w:val="0"/>
        </w:numPr>
        <w:tabs>
          <w:tab w:val="clear" w:pos="1134"/>
        </w:tabs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Cs/>
          <w:szCs w:val="24"/>
        </w:rPr>
        <w:t>本技术任务书所使用的标准如与</w:t>
      </w:r>
      <w:r>
        <w:rPr>
          <w:rFonts w:hint="eastAsia" w:ascii="宋体" w:hAnsi="宋体" w:eastAsia="宋体" w:cs="宋体"/>
          <w:bCs/>
          <w:szCs w:val="24"/>
          <w:lang w:val="en-US" w:eastAsia="zh-CN"/>
        </w:rPr>
        <w:t>乙方</w:t>
      </w:r>
      <w:r>
        <w:rPr>
          <w:rFonts w:hint="eastAsia" w:ascii="宋体" w:hAnsi="宋体" w:eastAsia="宋体" w:cs="宋体"/>
          <w:bCs/>
          <w:szCs w:val="24"/>
        </w:rPr>
        <w:t>所执行的标准发生矛盾时，以较高标准执行。</w:t>
      </w:r>
    </w:p>
    <w:p>
      <w:pPr>
        <w:spacing w:before="0" w:after="0" w:line="240" w:lineRule="auto"/>
        <w:ind w:left="0" w:right="0" w:firstLine="0"/>
        <w:jc w:val="left"/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color="auto" w:fill="auto"/>
        </w:rPr>
      </w:pPr>
    </w:p>
    <w:p>
      <w:pPr>
        <w:adjustRightInd w:val="0"/>
        <w:spacing w:line="480" w:lineRule="exact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、其他要求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项目验收必备条件为：设计方案获得广西百色能源投资发展集团有限公司批准。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交货日期：以合同期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限</w:t>
      </w:r>
      <w:r>
        <w:rPr>
          <w:rFonts w:hint="eastAsia" w:ascii="宋体" w:hAnsi="宋体" w:eastAsia="宋体" w:cs="宋体"/>
          <w:sz w:val="24"/>
          <w:szCs w:val="24"/>
        </w:rPr>
        <w:t>为准。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、本技术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任务书</w:t>
      </w:r>
      <w:r>
        <w:rPr>
          <w:rFonts w:hint="eastAsia" w:ascii="宋体" w:hAnsi="宋体" w:eastAsia="宋体" w:cs="宋体"/>
          <w:sz w:val="24"/>
          <w:szCs w:val="24"/>
        </w:rPr>
        <w:t>未尽事宜，由双方协商确定。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、技术联系人：蓝红日13977601071</w:t>
      </w:r>
    </w:p>
    <w:p>
      <w:pPr>
        <w:spacing w:before="0" w:after="0" w:line="360" w:lineRule="auto"/>
        <w:ind w:right="0"/>
        <w:jc w:val="both"/>
        <w:rPr>
          <w:rFonts w:hint="eastAsia" w:ascii="宋体" w:hAnsi="宋体" w:cs="宋体"/>
          <w:color w:val="000000"/>
          <w:spacing w:val="0"/>
          <w:position w:val="0"/>
          <w:sz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color w:val="000000"/>
          <w:spacing w:val="0"/>
          <w:position w:val="0"/>
          <w:sz w:val="24"/>
          <w:shd w:val="clear" w:color="auto" w:fill="auto"/>
          <w:lang w:val="en-US" w:eastAsia="zh-CN"/>
        </w:rPr>
        <w:t>六、附件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spacing w:val="0"/>
          <w:position w:val="0"/>
          <w:sz w:val="24"/>
          <w:shd w:val="clear" w:color="auto" w:fill="auto"/>
          <w:lang w:val="en-US" w:eastAsia="zh-CN"/>
        </w:rPr>
        <w:t xml:space="preserve">    </w:t>
      </w:r>
    </w:p>
    <w:p>
      <w:pPr>
        <w:pStyle w:val="2"/>
        <w:spacing w:line="360" w:lineRule="auto"/>
        <w:ind w:firstLine="48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1、东怀煤矿地面变电站改造前图纸</w:t>
      </w:r>
    </w:p>
    <w:p>
      <w:pPr>
        <w:pStyle w:val="2"/>
        <w:spacing w:line="360" w:lineRule="auto"/>
        <w:ind w:firstLine="48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2、东怀煤矿地面变电站拟改造后图纸（仅供参考，以最终通过当地电力部门审批为准）</w:t>
      </w:r>
    </w:p>
    <w:p>
      <w:pPr>
        <w:pStyle w:val="2"/>
        <w:ind w:firstLine="480" w:firstLineChars="200"/>
        <w:rPr>
          <w:rFonts w:hint="default" w:eastAsia="宋体"/>
          <w:sz w:val="24"/>
          <w:szCs w:val="36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36"/>
          <w:lang w:val="en-US" w:eastAsia="zh-CN"/>
        </w:rPr>
        <w:t>拟改造外桥位置尺寸（在空地上面安装外桥设备）</w:t>
      </w:r>
    </w:p>
    <w:p>
      <w:pPr>
        <w:pStyle w:val="2"/>
        <w:spacing w:line="360" w:lineRule="auto"/>
        <w:ind w:firstLine="48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pStyle w:val="2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附件1：东怀煤矿变电站改造前图纸</w:t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984490" cy="4935220"/>
            <wp:effectExtent l="0" t="0" r="3810" b="5080"/>
            <wp:docPr id="1" name="图片 1" descr="改造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改造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84490" cy="493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宋体"/>
          <w:sz w:val="24"/>
          <w:szCs w:val="36"/>
          <w:lang w:val="en-US" w:eastAsia="zh-CN"/>
        </w:rPr>
      </w:pPr>
      <w:r>
        <w:rPr>
          <w:rFonts w:hint="eastAsia" w:eastAsia="宋体"/>
          <w:sz w:val="24"/>
          <w:szCs w:val="36"/>
          <w:lang w:val="en-US" w:eastAsia="zh-CN"/>
        </w:rPr>
        <w:t>附件2东怀变电站拟改造后图纸（仅供参考）</w:t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816725" cy="4676140"/>
            <wp:effectExtent l="0" t="0" r="3175" b="10160"/>
            <wp:docPr id="2" name="图片 2" descr="改造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改造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6725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default" w:eastAsia="宋体"/>
          <w:sz w:val="24"/>
          <w:szCs w:val="36"/>
          <w:lang w:val="en-US" w:eastAsia="zh-CN"/>
        </w:rPr>
      </w:pPr>
      <w:r>
        <w:rPr>
          <w:rFonts w:hint="eastAsia"/>
          <w:sz w:val="24"/>
          <w:szCs w:val="36"/>
          <w:lang w:val="en-US" w:eastAsia="zh-CN"/>
        </w:rPr>
        <w:t>附件3：拟改造外桥位置尺寸（在空地上面安装外桥设备）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6730365" cy="3590290"/>
            <wp:effectExtent l="0" t="0" r="635" b="3810"/>
            <wp:docPr id="3" name="图片 3" descr="82dd53c1cab0fd9a01dafcfa56e3d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2dd53c1cab0fd9a01dafcfa56e3d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0365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3"/>
      <w:lvlText w:val="%1"/>
      <w:lvlJc w:val="left"/>
      <w:pPr>
        <w:tabs>
          <w:tab w:val="left" w:pos="1134"/>
        </w:tabs>
        <w:ind w:left="1134" w:hanging="1134"/>
      </w:pPr>
    </w:lvl>
    <w:lvl w:ilvl="1" w:tentative="0">
      <w:start w:val="1"/>
      <w:numFmt w:val="decimal"/>
      <w:lvlText w:val="%1.%2"/>
      <w:lvlJc w:val="left"/>
      <w:pPr>
        <w:tabs>
          <w:tab w:val="left" w:pos="1134"/>
        </w:tabs>
        <w:ind w:left="1134" w:hanging="1134"/>
      </w:pPr>
    </w:lvl>
    <w:lvl w:ilvl="2" w:tentative="0">
      <w:start w:val="1"/>
      <w:numFmt w:val="decimal"/>
      <w:lvlText w:val="%1.%2.%3"/>
      <w:lvlJc w:val="left"/>
      <w:pPr>
        <w:tabs>
          <w:tab w:val="left" w:pos="1134"/>
        </w:tabs>
        <w:ind w:left="1134" w:hanging="1134"/>
      </w:p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RmYzQ0NDdhYjIxODA2ODY5ODg5NjJlZGY2N2QifQ=="/>
    <w:docVar w:name="KSO_WPS_MARK_KEY" w:val="9aa5b7c5-419c-4d54-819f-14ecea18a3cf"/>
  </w:docVars>
  <w:rsids>
    <w:rsidRoot w:val="00000000"/>
    <w:rsid w:val="03822CFE"/>
    <w:rsid w:val="052148A2"/>
    <w:rsid w:val="10A64668"/>
    <w:rsid w:val="1D4131C0"/>
    <w:rsid w:val="27E92A9C"/>
    <w:rsid w:val="29AE03DB"/>
    <w:rsid w:val="3CFD74DA"/>
    <w:rsid w:val="3E126D6D"/>
    <w:rsid w:val="3E9244C5"/>
    <w:rsid w:val="409A0980"/>
    <w:rsid w:val="41635215"/>
    <w:rsid w:val="432A5FEB"/>
    <w:rsid w:val="46CC3691"/>
    <w:rsid w:val="4A4A2ACF"/>
    <w:rsid w:val="4ABA409E"/>
    <w:rsid w:val="4C3677AE"/>
    <w:rsid w:val="52B56CD7"/>
    <w:rsid w:val="53971BDD"/>
    <w:rsid w:val="54660E4D"/>
    <w:rsid w:val="55EF03A3"/>
    <w:rsid w:val="5901526E"/>
    <w:rsid w:val="5EA50CDD"/>
    <w:rsid w:val="606721D5"/>
    <w:rsid w:val="65F04A1A"/>
    <w:rsid w:val="662F5543"/>
    <w:rsid w:val="6CDF2314"/>
    <w:rsid w:val="700510C2"/>
    <w:rsid w:val="719D584B"/>
    <w:rsid w:val="74DC4AE7"/>
    <w:rsid w:val="77106C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sz w:val="21"/>
      <w:szCs w:val="22"/>
    </w:rPr>
  </w:style>
  <w:style w:type="paragraph" w:styleId="3">
    <w:name w:val="heading 2"/>
    <w:basedOn w:val="1"/>
    <w:next w:val="1"/>
    <w:qFormat/>
    <w:uiPriority w:val="0"/>
    <w:pPr>
      <w:keepNext/>
      <w:numPr>
        <w:ilvl w:val="0"/>
        <w:numId w:val="1"/>
      </w:numPr>
      <w:tabs>
        <w:tab w:val="left" w:pos="780"/>
      </w:tabs>
      <w:spacing w:line="400" w:lineRule="exact"/>
      <w:outlineLvl w:val="1"/>
    </w:pPr>
    <w:rPr>
      <w:rFonts w:ascii="Arial" w:hAnsi="Arial"/>
      <w:sz w:val="24"/>
      <w:szCs w:val="18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1745</Words>
  <Characters>2034</Characters>
  <Paragraphs>70</Paragraphs>
  <TotalTime>6</TotalTime>
  <ScaleCrop>false</ScaleCrop>
  <LinksUpToDate>false</LinksUpToDate>
  <CharactersWithSpaces>2093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2023-03-17T08:41:00Z</dcterms:created>
  <dc:creator>Zhipeng.huang</dc:creator>
  <cp:lastModifiedBy>相识是缘</cp:lastModifiedBy>
  <dcterms:modified xsi:type="dcterms:W3CDTF">2023-04-10T00:11:41Z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B08398319C2A430E84F05CCE912272AF_13</vt:lpwstr>
  </property>
</Properties>
</file>