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bCs w:val="0"/>
          <w:sz w:val="32"/>
          <w:szCs w:val="32"/>
          <w:lang w:val="en-US" w:eastAsia="zh-CN"/>
        </w:rPr>
      </w:pPr>
      <w:r>
        <w:rPr>
          <w:rFonts w:hint="eastAsia" w:ascii="微软雅黑" w:hAnsi="微软雅黑" w:eastAsia="微软雅黑" w:cs="微软雅黑"/>
          <w:b/>
          <w:bCs w:val="0"/>
          <w:sz w:val="32"/>
          <w:szCs w:val="32"/>
          <w:lang w:val="en-US" w:eastAsia="zh-CN"/>
        </w:rPr>
        <w:t>广西百矿新材料技术有限公司2023年炼工序铝锶合金、铝钛硼采购项目邀请书</w:t>
      </w:r>
    </w:p>
    <w:p>
      <w:pPr>
        <w:pStyle w:val="2"/>
        <w:rPr>
          <w:rFonts w:hint="eastAsia"/>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采购类别：生产辅料类（注：新用户时请选择此类别，否则无法报名）</w:t>
      </w:r>
    </w:p>
    <w:p>
      <w:pPr>
        <w:pStyle w:val="31"/>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lang w:val="en-US" w:eastAsia="zh-CN"/>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bCs w:val="0"/>
          <w:kern w:val="2"/>
          <w:sz w:val="24"/>
          <w:szCs w:val="24"/>
          <w:u w:val="single"/>
          <w:lang w:val="en-US" w:eastAsia="zh-CN" w:bidi="ar-SA"/>
        </w:rPr>
      </w:pPr>
      <w:r>
        <w:rPr>
          <w:rFonts w:ascii="Times New Roman" w:hAnsi="Times New Roman" w:eastAsia="宋体" w:cs="Times New Roman"/>
          <w:b/>
          <w:bCs w:val="0"/>
          <w:kern w:val="2"/>
          <w:sz w:val="24"/>
          <w:szCs w:val="24"/>
          <w:lang w:val="en-US" w:eastAsia="zh-CN" w:bidi="ar-SA"/>
        </w:rPr>
        <w:t xml:space="preserve"> </w:t>
      </w:r>
      <w:r>
        <w:rPr>
          <w:rFonts w:hint="eastAsia" w:ascii="Times New Roman" w:hAnsi="Times New Roman" w:eastAsia="宋体" w:cs="Times New Roman"/>
          <w:b/>
          <w:bCs w:val="0"/>
          <w:kern w:val="2"/>
          <w:sz w:val="24"/>
          <w:szCs w:val="24"/>
          <w:u w:val="single"/>
          <w:lang w:val="en-US" w:eastAsia="zh-CN" w:bidi="ar-SA"/>
        </w:rPr>
        <w:t>各材料供应商</w:t>
      </w:r>
      <w:r>
        <w:rPr>
          <w:rFonts w:ascii="Times New Roman" w:hAnsi="Times New Roman" w:eastAsia="宋体" w:cs="Times New Roman"/>
          <w:b/>
          <w:bCs w:val="0"/>
          <w:kern w:val="2"/>
          <w:sz w:val="24"/>
          <w:szCs w:val="24"/>
          <w:u w:val="single"/>
          <w:lang w:val="en-US" w:eastAsia="zh-CN" w:bidi="ar-SA"/>
        </w:rPr>
        <w:t>：</w:t>
      </w:r>
    </w:p>
    <w:p>
      <w:pPr>
        <w:numPr>
          <w:ilvl w:val="0"/>
          <w:numId w:val="0"/>
        </w:numPr>
        <w:spacing w:line="440" w:lineRule="exact"/>
        <w:ind w:firstLine="480" w:firstLineChars="200"/>
        <w:rPr>
          <w:rFonts w:hint="eastAsia" w:ascii="宋体" w:hAnsi="宋体"/>
          <w:sz w:val="24"/>
          <w:szCs w:val="24"/>
          <w:lang w:val="en-US" w:eastAsia="zh-CN"/>
        </w:rPr>
      </w:pPr>
      <w:r>
        <w:rPr>
          <w:rFonts w:hint="eastAsia" w:ascii="宋体" w:hAnsi="宋体"/>
          <w:sz w:val="24"/>
          <w:szCs w:val="24"/>
          <w:u w:val="single"/>
          <w:lang w:val="en-US" w:eastAsia="zh-CN"/>
        </w:rPr>
        <w:t>广西百矿新材料技术有限公司2023年熔炼工序铝锶合金、铝钛硼采购项目</w:t>
      </w:r>
      <w:r>
        <w:rPr>
          <w:rFonts w:hint="eastAsia" w:ascii="宋体" w:hAnsi="宋体"/>
          <w:sz w:val="24"/>
          <w:szCs w:val="24"/>
          <w:u w:val="none"/>
          <w:lang w:val="en-US" w:eastAsia="zh-CN"/>
        </w:rPr>
        <w:t>已具</w:t>
      </w:r>
      <w:r>
        <w:rPr>
          <w:rFonts w:hint="eastAsia" w:ascii="宋体" w:hAnsi="宋体"/>
          <w:sz w:val="24"/>
          <w:szCs w:val="24"/>
          <w:lang w:val="en-US" w:eastAsia="zh-CN"/>
        </w:rPr>
        <w:t>备采购条件，现邀请贵司参与本项目报单。</w:t>
      </w:r>
    </w:p>
    <w:p>
      <w:pPr>
        <w:numPr>
          <w:ilvl w:val="0"/>
          <w:numId w:val="0"/>
        </w:numPr>
        <w:spacing w:line="440" w:lineRule="exact"/>
        <w:rPr>
          <w:rFonts w:hint="eastAsia" w:ascii="宋体" w:hAnsi="宋体" w:eastAsia="宋体" w:cs="宋体"/>
          <w:b/>
          <w:sz w:val="24"/>
          <w:szCs w:val="24"/>
        </w:rPr>
      </w:pP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4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广西百矿新材料技术有限公司位于广西百色市田阳区新山工业园，规划筹建年产量1000万只铝合金轻量化轮毂项目，根据生产经营计划需对2023年度铝轮毂铝锶合金、铝钛硼进行采购。</w:t>
      </w:r>
    </w:p>
    <w:p>
      <w:pPr>
        <w:spacing w:line="440" w:lineRule="exact"/>
        <w:rPr>
          <w:rFonts w:hint="eastAsia" w:eastAsia="宋体"/>
          <w:b/>
          <w:bCs/>
          <w:lang w:val="en-US" w:eastAsia="zh-CN"/>
        </w:rPr>
      </w:pPr>
      <w:r>
        <w:rPr>
          <w:rFonts w:hint="eastAsia" w:ascii="宋体" w:hAnsi="宋体" w:eastAsia="宋体" w:cs="华文仿宋"/>
          <w:b/>
          <w:bCs/>
          <w:color w:val="000000"/>
          <w:sz w:val="24"/>
          <w:szCs w:val="24"/>
        </w:rPr>
        <w:t>2.2</w:t>
      </w:r>
      <w:r>
        <w:rPr>
          <w:rFonts w:hint="eastAsia" w:ascii="宋体" w:hAnsi="宋体" w:eastAsia="宋体"/>
          <w:b/>
          <w:bCs/>
          <w:sz w:val="24"/>
          <w:szCs w:val="24"/>
          <w:lang w:val="en-US" w:eastAsia="zh-CN"/>
        </w:rPr>
        <w:t>采购</w:t>
      </w:r>
      <w:r>
        <w:rPr>
          <w:rFonts w:hint="eastAsia" w:ascii="宋体" w:hAnsi="宋体" w:eastAsia="宋体"/>
          <w:b/>
          <w:bCs/>
          <w:sz w:val="24"/>
          <w:szCs w:val="24"/>
        </w:rPr>
        <w:t>范围：</w:t>
      </w:r>
    </w:p>
    <w:tbl>
      <w:tblPr>
        <w:tblStyle w:val="13"/>
        <w:tblW w:w="8098" w:type="dxa"/>
        <w:tblInd w:w="0" w:type="dxa"/>
        <w:shd w:val="clear" w:color="auto" w:fill="auto"/>
        <w:tblLayout w:type="fixed"/>
        <w:tblCellMar>
          <w:top w:w="0" w:type="dxa"/>
          <w:left w:w="0" w:type="dxa"/>
          <w:bottom w:w="0" w:type="dxa"/>
          <w:right w:w="0" w:type="dxa"/>
        </w:tblCellMar>
      </w:tblPr>
      <w:tblGrid>
        <w:gridCol w:w="867"/>
        <w:gridCol w:w="1951"/>
        <w:gridCol w:w="2961"/>
        <w:gridCol w:w="992"/>
        <w:gridCol w:w="1327"/>
      </w:tblGrid>
      <w:tr>
        <w:tblPrEx>
          <w:shd w:val="clear" w:color="auto" w:fill="auto"/>
          <w:tblCellMar>
            <w:top w:w="0" w:type="dxa"/>
            <w:left w:w="0" w:type="dxa"/>
            <w:bottom w:w="0" w:type="dxa"/>
            <w:right w:w="0" w:type="dxa"/>
          </w:tblCellMar>
        </w:tblPrEx>
        <w:trPr>
          <w:trHeight w:val="754"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计划用量</w:t>
            </w:r>
          </w:p>
        </w:tc>
      </w:tr>
      <w:tr>
        <w:tblPrEx>
          <w:shd w:val="clear" w:color="auto" w:fill="auto"/>
          <w:tblCellMar>
            <w:top w:w="0" w:type="dxa"/>
            <w:left w:w="0" w:type="dxa"/>
            <w:bottom w:w="0" w:type="dxa"/>
            <w:right w:w="0" w:type="dxa"/>
          </w:tblCellMar>
        </w:tblPrEx>
        <w:trPr>
          <w:trHeight w:val="73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合金类</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olor w:val="auto"/>
                <w:sz w:val="24"/>
                <w:szCs w:val="24"/>
                <w:lang w:val="en-US" w:eastAsia="zh-CN"/>
              </w:rPr>
              <w:t>铝锶合金</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ALSR10</w:t>
            </w:r>
          </w:p>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（详见质量要求细则）</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吨</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77.81</w:t>
            </w:r>
          </w:p>
        </w:tc>
      </w:tr>
      <w:tr>
        <w:tblPrEx>
          <w:shd w:val="clear" w:color="auto" w:fill="auto"/>
          <w:tblCellMar>
            <w:top w:w="0" w:type="dxa"/>
            <w:left w:w="0" w:type="dxa"/>
            <w:bottom w:w="0" w:type="dxa"/>
            <w:right w:w="0" w:type="dxa"/>
          </w:tblCellMar>
        </w:tblPrEx>
        <w:trPr>
          <w:trHeight w:val="717"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olor w:val="auto"/>
                <w:sz w:val="24"/>
                <w:szCs w:val="24"/>
                <w:lang w:val="en-US" w:eastAsia="zh-CN"/>
              </w:rPr>
              <w:t>铝钛硼</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AITi5B</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（详见质量要求细则）</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吨</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77.81</w:t>
            </w:r>
          </w:p>
        </w:tc>
      </w:tr>
      <w:tr>
        <w:tblPrEx>
          <w:shd w:val="clear" w:color="auto" w:fill="auto"/>
          <w:tblCellMar>
            <w:top w:w="0" w:type="dxa"/>
            <w:left w:w="0" w:type="dxa"/>
            <w:bottom w:w="0" w:type="dxa"/>
            <w:right w:w="0" w:type="dxa"/>
          </w:tblCellMar>
        </w:tblPrEx>
        <w:trPr>
          <w:trHeight w:val="473" w:hRule="atLeast"/>
        </w:trPr>
        <w:tc>
          <w:tcPr>
            <w:tcW w:w="809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备注：以上表格计划用量为预估数量，不作为招标方招标数量的任何承诺，后期具体采购量以实际采购订单为准。</w:t>
            </w:r>
          </w:p>
        </w:tc>
      </w:tr>
    </w:tbl>
    <w:p>
      <w:pPr>
        <w:pStyle w:val="2"/>
        <w:rPr>
          <w:rFonts w:hint="eastAsia" w:eastAsia="宋体"/>
          <w:b/>
          <w:bCs/>
          <w:lang w:val="en-US" w:eastAsia="zh-CN"/>
        </w:rPr>
      </w:pPr>
    </w:p>
    <w:p>
      <w:pPr>
        <w:tabs>
          <w:tab w:val="left" w:pos="780"/>
          <w:tab w:val="left" w:pos="5700"/>
        </w:tabs>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spacing w:line="440" w:lineRule="exact"/>
        <w:rPr>
          <w:rFonts w:hint="default" w:ascii="宋体" w:hAnsi="宋体" w:eastAsia="宋体" w:cs="华文仿宋"/>
          <w:b/>
          <w:bCs/>
          <w:color w:val="000000"/>
          <w:sz w:val="24"/>
          <w:szCs w:val="24"/>
          <w:lang w:val="en-US"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具体时间以通知为准</w:t>
      </w:r>
      <w:r>
        <w:rPr>
          <w:rFonts w:hint="eastAsia" w:ascii="宋体" w:hAnsi="宋体" w:eastAsia="宋体" w:cs="宋体"/>
          <w:sz w:val="24"/>
          <w:szCs w:val="24"/>
          <w:lang w:eastAsia="zh-CN"/>
        </w:rPr>
        <w:t>）</w:t>
      </w:r>
    </w:p>
    <w:p>
      <w:pPr>
        <w:spacing w:line="440" w:lineRule="exact"/>
        <w:rPr>
          <w:rFonts w:hint="eastAsia" w:ascii="宋体" w:hAnsi="宋体" w:eastAsia="宋体" w:cs="华文仿宋"/>
          <w:b/>
          <w:bCs/>
          <w:color w:val="000000"/>
          <w:sz w:val="24"/>
          <w:szCs w:val="24"/>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4开标</w:t>
      </w:r>
      <w:r>
        <w:rPr>
          <w:rFonts w:hint="eastAsia" w:ascii="宋体" w:hAnsi="宋体" w:eastAsia="宋体" w:cs="华文仿宋"/>
          <w:b/>
          <w:bCs/>
          <w:color w:val="000000"/>
          <w:sz w:val="24"/>
          <w:szCs w:val="24"/>
        </w:rPr>
        <w:t>地点</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宋体" w:hAnsi="宋体"/>
          <w:sz w:val="24"/>
          <w:lang w:val="en-US" w:eastAsia="zh-CN"/>
        </w:rPr>
        <w:t>广西百色市右江区东增路188号吉利百矿集团有限公司</w:t>
      </w:r>
      <w:r>
        <w:rPr>
          <w:rFonts w:hint="eastAsia" w:ascii="宋体" w:hAnsi="宋体"/>
          <w:sz w:val="24"/>
          <w:highlight w:val="none"/>
          <w:lang w:val="en-US" w:eastAsia="zh-CN"/>
        </w:rPr>
        <w:t>；</w:t>
      </w:r>
    </w:p>
    <w:p>
      <w:pPr>
        <w:spacing w:line="440" w:lineRule="exact"/>
        <w:rPr>
          <w:rFonts w:hint="default"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sz w:val="24"/>
          <w:lang w:val="en-US" w:eastAsia="zh-CN"/>
        </w:rPr>
        <w:t>每批产品</w:t>
      </w:r>
      <w:r>
        <w:rPr>
          <w:rFonts w:hint="eastAsia"/>
          <w:color w:val="000000" w:themeColor="text1"/>
          <w:sz w:val="24"/>
          <w:lang w:val="en-US" w:eastAsia="zh-CN"/>
          <w14:textFill>
            <w14:solidFill>
              <w14:schemeClr w14:val="tx1"/>
            </w14:solidFill>
          </w14:textFill>
        </w:rPr>
        <w:t>按</w:t>
      </w:r>
      <w:r>
        <w:rPr>
          <w:rFonts w:hint="eastAsia"/>
          <w:color w:val="000000" w:themeColor="text1"/>
          <w:sz w:val="24"/>
          <w14:textFill>
            <w14:solidFill>
              <w14:schemeClr w14:val="tx1"/>
            </w14:solidFill>
          </w14:textFill>
        </w:rPr>
        <w:t>双方确定</w:t>
      </w:r>
      <w:r>
        <w:rPr>
          <w:rFonts w:hint="eastAsia"/>
          <w:color w:val="000000" w:themeColor="text1"/>
          <w:sz w:val="24"/>
          <w:lang w:val="en-US" w:eastAsia="zh-CN"/>
          <w14:textFill>
            <w14:solidFill>
              <w14:schemeClr w14:val="tx1"/>
            </w14:solidFill>
          </w14:textFill>
        </w:rPr>
        <w:t>的订单10</w:t>
      </w:r>
      <w:r>
        <w:rPr>
          <w:rFonts w:hint="eastAsia"/>
          <w:color w:val="000000" w:themeColor="text1"/>
          <w:sz w:val="24"/>
          <w14:textFill>
            <w14:solidFill>
              <w14:schemeClr w14:val="tx1"/>
            </w14:solidFill>
          </w14:textFill>
        </w:rPr>
        <w:t>天内</w:t>
      </w:r>
      <w:r>
        <w:rPr>
          <w:rFonts w:hint="eastAsia"/>
          <w:color w:val="000000" w:themeColor="text1"/>
          <w:sz w:val="24"/>
          <w:lang w:val="en-US" w:eastAsia="zh-CN"/>
          <w14:textFill>
            <w14:solidFill>
              <w14:schemeClr w14:val="tx1"/>
            </w14:solidFill>
          </w14:textFill>
        </w:rPr>
        <w:t>完成</w:t>
      </w:r>
      <w:r>
        <w:rPr>
          <w:rFonts w:hint="eastAsia"/>
          <w:sz w:val="24"/>
        </w:rPr>
        <w:t>交货</w:t>
      </w:r>
      <w:r>
        <w:rPr>
          <w:rFonts w:hint="eastAsia"/>
          <w:sz w:val="24"/>
          <w:lang w:eastAsia="zh-CN"/>
        </w:rPr>
        <w:t>，</w:t>
      </w:r>
      <w:r>
        <w:rPr>
          <w:rFonts w:hint="eastAsia" w:ascii="宋体" w:hAnsi="宋体"/>
          <w:sz w:val="24"/>
          <w:highlight w:val="none"/>
          <w:lang w:val="en-US" w:eastAsia="zh-CN"/>
        </w:rPr>
        <w:t>以采购订单通知为准。</w:t>
      </w:r>
    </w:p>
    <w:p>
      <w:pPr>
        <w:spacing w:line="440" w:lineRule="exact"/>
        <w:rPr>
          <w:rFonts w:hint="eastAsia"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lang w:val="en-US" w:eastAsia="zh-CN"/>
        </w:rPr>
        <w:t>2.6供货地点</w:t>
      </w:r>
    </w:p>
    <w:p>
      <w:pPr>
        <w:pStyle w:val="3"/>
        <w:ind w:firstLine="480" w:firstLineChars="200"/>
        <w:rPr>
          <w:rFonts w:hint="eastAsia"/>
          <w:lang w:val="en-US" w:eastAsia="zh-CN"/>
        </w:rPr>
      </w:pP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广西百色市田阳区新山工业园，广西百矿新材料技术有限公司</w:t>
      </w:r>
      <w:r>
        <w:rPr>
          <w:rFonts w:hint="eastAsia" w:cstheme="minorBidi"/>
          <w:b w:val="0"/>
          <w:color w:val="000000" w:themeColor="text1"/>
          <w:kern w:val="2"/>
          <w:sz w:val="24"/>
          <w:szCs w:val="22"/>
          <w:lang w:val="en-US" w:eastAsia="zh-CN" w:bidi="ar-SA"/>
          <w14:textFill>
            <w14:solidFill>
              <w14:schemeClr w14:val="tx1"/>
            </w14:solidFill>
          </w14:textFill>
        </w:rPr>
        <w:t>指定</w:t>
      </w: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仓库。</w:t>
      </w:r>
    </w:p>
    <w:p>
      <w:pPr>
        <w:numPr>
          <w:ilvl w:val="0"/>
          <w:numId w:val="0"/>
        </w:numPr>
        <w:spacing w:line="440" w:lineRule="exact"/>
        <w:rPr>
          <w:rFonts w:hint="eastAsia" w:ascii="黑体" w:hAnsi="黑体" w:eastAsia="黑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投标</w:t>
      </w:r>
      <w:r>
        <w:rPr>
          <w:rFonts w:hint="eastAsia" w:ascii="宋体" w:hAnsi="宋体" w:eastAsia="宋体" w:cs="宋体"/>
          <w:b/>
          <w:sz w:val="24"/>
          <w:szCs w:val="24"/>
        </w:rPr>
        <w:t>人资格要求</w:t>
      </w:r>
    </w:p>
    <w:p>
      <w:pPr>
        <w:pStyle w:val="12"/>
        <w:shd w:val="clear" w:color="auto" w:fill="FFFFFF"/>
        <w:spacing w:before="0" w:beforeAutospacing="0" w:after="0" w:afterAutospacing="0" w:line="420" w:lineRule="atLeast"/>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3.1在中国境内注册，有独立法人资格和承担民事责任的能力；</w:t>
      </w:r>
    </w:p>
    <w:p>
      <w:pPr>
        <w:pStyle w:val="12"/>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3.2</w:t>
      </w:r>
      <w:r>
        <w:rPr>
          <w:rFonts w:hint="default" w:ascii="宋体" w:hAnsi="宋体" w:eastAsia="宋体" w:cstheme="minorBidi"/>
          <w:color w:val="auto"/>
          <w:kern w:val="2"/>
          <w:sz w:val="24"/>
          <w:szCs w:val="24"/>
          <w:lang w:val="en-US" w:eastAsia="zh-CN" w:bidi="ar-SA"/>
        </w:rPr>
        <w:t>.</w:t>
      </w:r>
      <w:r>
        <w:rPr>
          <w:rFonts w:hint="eastAsia" w:ascii="宋体" w:hAnsi="宋体" w:eastAsia="宋体" w:cstheme="minorBidi"/>
          <w:color w:val="auto"/>
          <w:kern w:val="2"/>
          <w:sz w:val="24"/>
          <w:szCs w:val="24"/>
          <w:lang w:val="en-US" w:eastAsia="zh-CN" w:bidi="ar-SA"/>
        </w:rPr>
        <w:t>遵守中华人民共和国有关法律、法规和条例。</w:t>
      </w:r>
    </w:p>
    <w:p>
      <w:pPr>
        <w:pStyle w:val="12"/>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3.3</w:t>
      </w:r>
      <w:r>
        <w:rPr>
          <w:rFonts w:hint="default" w:ascii="宋体" w:hAnsi="宋体" w:eastAsia="宋体" w:cstheme="minorBidi"/>
          <w:color w:val="auto"/>
          <w:kern w:val="2"/>
          <w:sz w:val="24"/>
          <w:szCs w:val="24"/>
          <w:lang w:val="en-US" w:eastAsia="zh-CN" w:bidi="ar-SA"/>
        </w:rPr>
        <w:t>.没有处于被责令停业，财产被接管、冻结及破产状态；</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3.4具有竞标规格及以上相应或相似条件，近3年内在国内外需有1个轮毂行业类似业绩。（业绩须附列表及对应列表的合同原件扫描件。合同原件扫描件含首尾页、供货清单或发票、签字盖章页，否则按无效业绩处理）</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3.5近年来有较好业绩且无不良商业行为。</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3.6具有良好的商业信誉和健全的财务会计制度。</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3.7本次招标不接受联合体投标。</w:t>
      </w:r>
    </w:p>
    <w:p>
      <w:pPr>
        <w:numPr>
          <w:ilvl w:val="0"/>
          <w:numId w:val="0"/>
        </w:numPr>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4.定价方式</w:t>
      </w:r>
    </w:p>
    <w:p>
      <w:pPr>
        <w:pStyle w:val="12"/>
        <w:shd w:val="clear" w:color="auto" w:fill="FFFFFF"/>
        <w:spacing w:before="0" w:beforeAutospacing="0" w:after="0" w:afterAutospacing="0" w:line="420" w:lineRule="atLeast"/>
        <w:ind w:firstLine="480" w:firstLineChars="200"/>
        <w:rPr>
          <w:rFonts w:hint="default" w:ascii="宋体" w:hAnsi="宋体" w:eastAsia="宋体" w:cstheme="minorBidi"/>
          <w:kern w:val="2"/>
          <w:lang w:val="en-US" w:eastAsia="zh-CN"/>
        </w:rPr>
      </w:pPr>
      <w:r>
        <w:rPr>
          <w:rFonts w:hint="eastAsia" w:ascii="宋体" w:hAnsi="宋体" w:eastAsia="宋体" w:cstheme="minorBidi"/>
          <w:kern w:val="2"/>
          <w:lang w:val="en-US" w:eastAsia="zh-CN"/>
        </w:rPr>
        <w:t>综合单价：按订单前五日长江有色金属网A00铝锭</w:t>
      </w:r>
      <w:r>
        <w:rPr>
          <w:rFonts w:hint="eastAsia" w:cstheme="minorBidi"/>
          <w:kern w:val="2"/>
          <w:lang w:val="en-US" w:eastAsia="zh-CN"/>
        </w:rPr>
        <w:t>现货</w:t>
      </w:r>
      <w:r>
        <w:rPr>
          <w:rFonts w:hint="eastAsia" w:ascii="宋体" w:hAnsi="宋体" w:eastAsia="宋体" w:cstheme="minorBidi"/>
          <w:kern w:val="2"/>
          <w:lang w:val="en-US" w:eastAsia="zh-CN"/>
        </w:rPr>
        <w:t>平均价；+运输</w:t>
      </w:r>
      <w:r>
        <w:rPr>
          <w:rFonts w:hint="eastAsia" w:cstheme="minorBidi"/>
          <w:kern w:val="2"/>
          <w:lang w:val="en-US" w:eastAsia="zh-CN"/>
        </w:rPr>
        <w:t>、加工费</w:t>
      </w:r>
      <w:r>
        <w:rPr>
          <w:rFonts w:hint="eastAsia" w:ascii="宋体" w:hAnsi="宋体" w:eastAsia="宋体" w:cstheme="minorBidi"/>
          <w:kern w:val="2"/>
          <w:lang w:val="en-US" w:eastAsia="zh-CN"/>
        </w:rPr>
        <w:t>等综合费。</w:t>
      </w:r>
    </w:p>
    <w:p>
      <w:pPr>
        <w:numPr>
          <w:ilvl w:val="0"/>
          <w:numId w:val="0"/>
        </w:numPr>
        <w:spacing w:line="440" w:lineRule="exact"/>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5</w:t>
      </w:r>
      <w:r>
        <w:rPr>
          <w:rFonts w:hint="eastAsia" w:ascii="宋体" w:hAnsi="宋体" w:eastAsia="宋体" w:cs="宋体"/>
          <w:b/>
          <w:sz w:val="24"/>
          <w:szCs w:val="24"/>
        </w:rPr>
        <w:t xml:space="preserve">. </w:t>
      </w:r>
      <w:r>
        <w:rPr>
          <w:rFonts w:hint="eastAsia" w:ascii="宋体" w:hAnsi="宋体" w:eastAsia="宋体" w:cs="宋体"/>
          <w:b/>
          <w:sz w:val="24"/>
          <w:szCs w:val="24"/>
          <w:lang w:eastAsia="zh-CN"/>
        </w:rPr>
        <w:t>报</w:t>
      </w:r>
      <w:r>
        <w:rPr>
          <w:rFonts w:hint="eastAsia" w:ascii="宋体" w:hAnsi="宋体" w:eastAsia="宋体" w:cs="宋体"/>
          <w:b/>
          <w:sz w:val="24"/>
          <w:szCs w:val="24"/>
          <w:lang w:val="en-US" w:eastAsia="zh-CN"/>
        </w:rPr>
        <w:t>价</w:t>
      </w:r>
      <w:r>
        <w:rPr>
          <w:rFonts w:hint="eastAsia" w:ascii="宋体" w:hAnsi="宋体" w:eastAsia="宋体" w:cs="宋体"/>
          <w:b/>
          <w:sz w:val="24"/>
          <w:szCs w:val="24"/>
          <w:lang w:eastAsia="zh-CN"/>
        </w:rPr>
        <w:t>及相关要求</w:t>
      </w:r>
    </w:p>
    <w:p>
      <w:pPr>
        <w:spacing w:line="400" w:lineRule="exact"/>
        <w:rPr>
          <w:rFonts w:hint="eastAsia" w:ascii="宋体" w:hAnsi="宋体" w:eastAsia="宋体"/>
          <w:color w:val="auto"/>
          <w:sz w:val="24"/>
          <w:szCs w:val="24"/>
          <w:lang w:val="en-US" w:eastAsia="zh-CN"/>
        </w:rPr>
      </w:pPr>
      <w:r>
        <w:rPr>
          <w:rFonts w:hint="eastAsia" w:ascii="宋体" w:hAnsi="宋体" w:eastAsia="宋体"/>
          <w:b/>
          <w:bCs/>
          <w:color w:val="auto"/>
          <w:sz w:val="24"/>
          <w:szCs w:val="24"/>
          <w:lang w:val="en-US" w:eastAsia="zh-CN"/>
        </w:rPr>
        <w:t>5.1付款方式</w:t>
      </w:r>
    </w:p>
    <w:p>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olor w:val="auto"/>
          <w:sz w:val="24"/>
          <w:szCs w:val="24"/>
          <w:lang w:val="en-US" w:eastAsia="zh-CN"/>
        </w:rPr>
        <w:t>先货后款，每批产品验收合格入库后</w:t>
      </w:r>
      <w:r>
        <w:rPr>
          <w:rFonts w:hint="eastAsia" w:ascii="宋体" w:hAnsi="宋体" w:eastAsia="宋体" w:cs="宋体"/>
          <w:b w:val="0"/>
          <w:bCs/>
          <w:sz w:val="24"/>
          <w:szCs w:val="24"/>
          <w:lang w:val="en-US" w:eastAsia="zh-CN"/>
        </w:rPr>
        <w:t>及收到13%增值税专用发票入甲方财务账后30日内支付相应货款。</w:t>
      </w:r>
    </w:p>
    <w:p>
      <w:pPr>
        <w:spacing w:line="400" w:lineRule="exact"/>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5.2 价款结算</w:t>
      </w:r>
    </w:p>
    <w:p>
      <w:pPr>
        <w:spacing w:line="400" w:lineRule="exact"/>
        <w:ind w:firstLine="480"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lang w:val="en-US" w:eastAsia="zh-CN"/>
        </w:rPr>
        <w:t>每批次产品经甲方验收合格入库后，按合同每项实际到货量乘合同（产品清单）单价结算。若遇国家税率调整，应按调整后的最新税率计付合同款项，即合同不含税价格不受国家税率调整的影响。</w:t>
      </w:r>
    </w:p>
    <w:p>
      <w:pPr>
        <w:numPr>
          <w:ilvl w:val="0"/>
          <w:numId w:val="0"/>
        </w:numPr>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6.竞价谈判、评标办法</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6.1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6.2本次评标</w:t>
      </w:r>
      <w:bookmarkStart w:id="2" w:name="_GoBack"/>
      <w:r>
        <w:rPr>
          <w:rFonts w:hint="eastAsia" w:ascii="宋体" w:hAnsi="宋体" w:eastAsia="宋体"/>
          <w:color w:val="auto"/>
          <w:sz w:val="24"/>
          <w:szCs w:val="24"/>
          <w:lang w:val="en-US" w:eastAsia="zh-CN"/>
        </w:rPr>
        <w:t>采用价格最低中标，按价格由低到高顺序确定中标人。本次招标暂定于 2023年05月15日进行（具体时间以通知为准），登录吉利电子招标平台（https://glzb.geely.com）进行报价，招标方有权选择电子竞价、电子谈判或者多种形式结合的方式进行竞价（详见“竞价形式说明”）。</w:t>
      </w:r>
    </w:p>
    <w:p>
      <w:pPr>
        <w:spacing w:line="400" w:lineRule="exact"/>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6.3本项目拟定两家中标单位</w:t>
      </w:r>
    </w:p>
    <w:bookmarkEnd w:id="2"/>
    <w:p>
      <w:pPr>
        <w:pStyle w:val="6"/>
        <w:ind w:left="0" w:leftChars="0" w:firstLine="480" w:firstLineChars="200"/>
        <w:rPr>
          <w:rFonts w:hint="eastAsia" w:ascii="宋体" w:hAnsi="宋体" w:eastAsia="宋体" w:cstheme="minorBidi"/>
          <w:color w:val="auto"/>
          <w:kern w:val="2"/>
          <w:sz w:val="24"/>
          <w:szCs w:val="24"/>
          <w:lang w:val="en-US" w:eastAsia="zh-CN" w:bidi="ar-SA"/>
        </w:rPr>
      </w:pPr>
      <w:bookmarkStart w:id="1" w:name="_Toc33189460"/>
    </w:p>
    <w:p>
      <w:pPr>
        <w:pStyle w:val="6"/>
        <w:ind w:left="0" w:leftChars="0" w:firstLine="0" w:firstLineChars="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7.确认</w:t>
      </w:r>
      <w:bookmarkEnd w:id="1"/>
    </w:p>
    <w:p>
      <w:pPr>
        <w:spacing w:line="400" w:lineRule="exact"/>
        <w:ind w:firstLine="450"/>
        <w:rPr>
          <w:rFonts w:hint="eastAsia" w:ascii="宋体" w:hAnsi="宋体" w:eastAsia="宋体"/>
          <w:sz w:val="24"/>
          <w:szCs w:val="24"/>
          <w:highlight w:val="none"/>
        </w:rPr>
      </w:pPr>
      <w:r>
        <w:rPr>
          <w:rFonts w:hint="eastAsia" w:ascii="宋体" w:hAnsi="宋体" w:eastAsia="宋体"/>
          <w:sz w:val="24"/>
          <w:szCs w:val="24"/>
          <w:highlight w:val="none"/>
          <w:lang w:eastAsia="zh-CN"/>
        </w:rPr>
        <w:t>贵公司</w:t>
      </w:r>
      <w:r>
        <w:rPr>
          <w:rFonts w:hint="eastAsia" w:ascii="宋体" w:hAnsi="宋体" w:eastAsia="宋体"/>
          <w:sz w:val="24"/>
          <w:szCs w:val="24"/>
          <w:highlight w:val="none"/>
        </w:rPr>
        <w:t xml:space="preserve">收到本标邀请书后，请于 </w:t>
      </w:r>
      <w:r>
        <w:rPr>
          <w:rFonts w:hint="eastAsia" w:ascii="宋体" w:hAnsi="宋体" w:eastAsia="宋体"/>
          <w:sz w:val="24"/>
          <w:szCs w:val="24"/>
          <w:highlight w:val="none"/>
          <w:u w:val="single"/>
          <w:lang w:val="en-US" w:eastAsia="zh-CN"/>
        </w:rPr>
        <w:t>2023</w:t>
      </w:r>
      <w:r>
        <w:rPr>
          <w:rFonts w:hint="eastAsia" w:ascii="宋体" w:hAnsi="宋体" w:eastAsia="宋体"/>
          <w:sz w:val="24"/>
          <w:szCs w:val="24"/>
          <w:highlight w:val="none"/>
        </w:rPr>
        <w:t>年</w:t>
      </w:r>
      <w:r>
        <w:rPr>
          <w:rFonts w:hint="eastAsia" w:ascii="宋体" w:hAnsi="宋体" w:eastAsia="宋体"/>
          <w:sz w:val="24"/>
          <w:szCs w:val="24"/>
          <w:highlight w:val="none"/>
          <w:u w:val="single"/>
          <w:lang w:val="en-US" w:eastAsia="zh-CN"/>
        </w:rPr>
        <w:t xml:space="preserve"> 05</w:t>
      </w:r>
      <w:r>
        <w:rPr>
          <w:rFonts w:hint="eastAsia" w:ascii="宋体" w:hAnsi="宋体" w:eastAsia="宋体"/>
          <w:sz w:val="24"/>
          <w:szCs w:val="24"/>
          <w:highlight w:val="none"/>
        </w:rPr>
        <w:t>月</w:t>
      </w:r>
      <w:r>
        <w:rPr>
          <w:rFonts w:hint="eastAsia" w:ascii="宋体" w:hAnsi="宋体" w:eastAsia="宋体"/>
          <w:sz w:val="24"/>
          <w:szCs w:val="24"/>
          <w:highlight w:val="none"/>
          <w:u w:val="single"/>
          <w:lang w:val="en-US" w:eastAsia="zh-CN"/>
        </w:rPr>
        <w:t>11</w:t>
      </w:r>
      <w:r>
        <w:rPr>
          <w:rFonts w:hint="eastAsia" w:ascii="宋体" w:hAnsi="宋体" w:eastAsia="宋体"/>
          <w:sz w:val="24"/>
          <w:szCs w:val="24"/>
          <w:highlight w:val="none"/>
        </w:rPr>
        <w:t>日</w:t>
      </w:r>
      <w:r>
        <w:rPr>
          <w:rFonts w:hint="eastAsia" w:ascii="宋体" w:hAnsi="宋体" w:eastAsia="宋体"/>
          <w:sz w:val="24"/>
          <w:szCs w:val="24"/>
          <w:highlight w:val="none"/>
          <w:u w:val="single"/>
          <w:lang w:val="en-US" w:eastAsia="zh-CN"/>
        </w:rPr>
        <w:t xml:space="preserve"> 17 </w:t>
      </w:r>
      <w:r>
        <w:rPr>
          <w:rFonts w:hint="eastAsia" w:ascii="宋体" w:hAnsi="宋体" w:eastAsia="宋体"/>
          <w:sz w:val="24"/>
          <w:szCs w:val="24"/>
          <w:highlight w:val="none"/>
        </w:rPr>
        <w:t>时前将确认通知（附件</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）以邮件方式反馈给招标人商务人员，以确认是否参加。在本投标邀请书规定的时间内未表示是否参加或明确表示不参加投标的，不得再参加投标。</w:t>
      </w:r>
    </w:p>
    <w:p>
      <w:pPr>
        <w:pStyle w:val="6"/>
        <w:ind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投标保证金金额：投标保证金</w:t>
      </w:r>
      <w:r>
        <w:rPr>
          <w:rFonts w:hint="eastAsia" w:ascii="宋体" w:hAnsi="宋体" w:eastAsia="宋体" w:cstheme="minorBidi"/>
          <w:kern w:val="2"/>
          <w:sz w:val="24"/>
          <w:szCs w:val="24"/>
          <w:u w:val="single"/>
          <w:lang w:val="en-US" w:eastAsia="zh-CN" w:bidi="ar-SA"/>
        </w:rPr>
        <w:t>9万元</w:t>
      </w:r>
      <w:r>
        <w:rPr>
          <w:rFonts w:hint="eastAsia" w:ascii="宋体" w:hAnsi="宋体" w:eastAsia="宋体" w:cstheme="minorBidi"/>
          <w:kern w:val="2"/>
          <w:sz w:val="24"/>
          <w:szCs w:val="24"/>
          <w:lang w:val="en-US" w:eastAsia="zh-CN" w:bidi="ar-SA"/>
        </w:rPr>
        <w:t>。投标保证金须再2023年05月11日前汇入我公司账户并提供相应材料。未按规定时间缴纳保证金的，不得参与投标。保证金在招标结果确定后，未中标单位7个工作日内退还；中标单位第一批物资到货验收合格后7个工作日内退还。</w:t>
      </w:r>
    </w:p>
    <w:p>
      <w:pPr>
        <w:pStyle w:val="6"/>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投标保证金以电汇形式交纳。采用电汇形式的投标保证金须打入以下帐户：</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 xml:space="preserve">招标单位名称：广西百矿新材料技术有限公司  </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开   户   行：中国建设银行百色分行营业部</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帐       号：</w:t>
      </w:r>
      <w:r>
        <w:rPr>
          <w:rFonts w:hint="eastAsia" w:ascii="宋体" w:hAnsi="宋体" w:eastAsia="宋体" w:cstheme="minorBidi"/>
          <w:kern w:val="2"/>
          <w:sz w:val="24"/>
          <w:szCs w:val="24"/>
          <w:lang w:val="en-US" w:eastAsia="zh-CN" w:bidi="ar-SA"/>
        </w:rPr>
        <w:t xml:space="preserve"> </w:t>
      </w:r>
      <w:r>
        <w:rPr>
          <w:rFonts w:hint="eastAsia" w:ascii="宋体" w:hAnsi="宋体" w:eastAsia="宋体" w:cstheme="minorBidi"/>
          <w:b/>
          <w:bCs/>
          <w:kern w:val="2"/>
          <w:sz w:val="24"/>
          <w:szCs w:val="24"/>
          <w:lang w:val="en-US" w:eastAsia="zh-CN" w:bidi="ar-SA"/>
        </w:rPr>
        <w:t>45050167610109666888</w:t>
      </w:r>
    </w:p>
    <w:p>
      <w:pPr>
        <w:pStyle w:val="3"/>
        <w:rPr>
          <w:rFonts w:hint="eastAsia" w:ascii="宋体" w:hAnsi="宋体" w:eastAsia="宋体" w:cstheme="minorBidi"/>
          <w:b/>
          <w:bCs/>
          <w:color w:val="auto"/>
          <w:kern w:val="2"/>
          <w:sz w:val="24"/>
          <w:szCs w:val="24"/>
          <w:lang w:val="en-US" w:eastAsia="zh-CN" w:bidi="ar-SA"/>
        </w:rPr>
      </w:pPr>
      <w:r>
        <w:rPr>
          <w:rFonts w:hint="eastAsia" w:ascii="宋体" w:hAnsi="宋体" w:eastAsia="宋体" w:cstheme="minorBidi"/>
          <w:b/>
          <w:bCs/>
          <w:color w:val="auto"/>
          <w:kern w:val="2"/>
          <w:sz w:val="24"/>
          <w:szCs w:val="24"/>
          <w:lang w:val="en-US" w:eastAsia="zh-CN" w:bidi="ar-SA"/>
        </w:rPr>
        <w:t>（汇款时备注：广西百矿新材料技术有限公司2023年铝锶、铝钛硼采购投标保证金）</w:t>
      </w:r>
    </w:p>
    <w:p>
      <w:pPr>
        <w:pStyle w:val="6"/>
        <w:ind w:left="0" w:leftChars="0" w:firstLine="0" w:firstLineChars="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7.联系方式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kern w:val="0"/>
                <w:sz w:val="24"/>
                <w:szCs w:val="24"/>
                <w:lang w:eastAsia="zh-CN"/>
              </w:rPr>
            </w:pPr>
            <w:r>
              <w:rPr>
                <w:rFonts w:hint="eastAsia"/>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eastAsia="zh-CN"/>
              </w:rPr>
              <w:t>广西百矿新材料技术有限公司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广西</w:t>
            </w:r>
            <w:r>
              <w:rPr>
                <w:rFonts w:hint="eastAsia" w:ascii="宋体" w:hAnsi="宋体" w:eastAsia="宋体"/>
                <w:sz w:val="24"/>
                <w:szCs w:val="24"/>
                <w:lang w:val="en-US" w:eastAsia="zh-CN"/>
              </w:rPr>
              <w:t>百色市</w:t>
            </w:r>
            <w:r>
              <w:rPr>
                <w:rFonts w:hint="eastAsia" w:ascii="宋体" w:hAnsi="宋体" w:eastAsia="宋体"/>
                <w:sz w:val="24"/>
                <w:szCs w:val="24"/>
              </w:rPr>
              <w:t>田阳</w:t>
            </w:r>
            <w:r>
              <w:rPr>
                <w:rFonts w:hint="eastAsia" w:ascii="宋体" w:hAnsi="宋体" w:eastAsia="宋体"/>
                <w:sz w:val="24"/>
                <w:szCs w:val="24"/>
                <w:lang w:eastAsia="zh-CN"/>
              </w:rPr>
              <w:t>区</w:t>
            </w:r>
            <w:r>
              <w:rPr>
                <w:rFonts w:hint="eastAsia" w:ascii="宋体" w:hAnsi="宋体"/>
                <w:sz w:val="24"/>
                <w:highlight w:val="none"/>
                <w:lang w:val="en-US" w:eastAsia="zh-CN"/>
              </w:rPr>
              <w:t>新山工业园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HYPERLINK "https://glzb.geely.com" </w:instrText>
            </w:r>
            <w:r>
              <w:rPr>
                <w:rFonts w:hint="eastAsia" w:ascii="宋体" w:hAnsi="宋体" w:eastAsia="宋体"/>
                <w:sz w:val="24"/>
                <w:szCs w:val="24"/>
              </w:rP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开户</w:t>
            </w:r>
            <w:r>
              <w:rPr>
                <w:kern w:val="0"/>
                <w:sz w:val="24"/>
                <w:szCs w:val="24"/>
              </w:rPr>
              <w:t>银行</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lang w:eastAsia="zh-CN"/>
              </w:rPr>
            </w:pPr>
            <w:r>
              <w:rPr>
                <w:rFonts w:hint="eastAsia" w:ascii="宋体" w:hAnsi="宋体" w:eastAsia="宋体"/>
                <w:sz w:val="24"/>
                <w:szCs w:val="24"/>
              </w:rPr>
              <w:t>中国建设银行百色分行营业部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银行</w:t>
            </w:r>
            <w:r>
              <w:rPr>
                <w:kern w:val="0"/>
                <w:sz w:val="24"/>
                <w:szCs w:val="24"/>
              </w:rPr>
              <w:t>账号</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 xml:space="preserve">45050167610109666888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sz w:val="24"/>
                <w:szCs w:val="24"/>
              </w:rPr>
            </w:pPr>
            <w:r>
              <w:rPr>
                <w:rFonts w:hint="eastAsia" w:ascii="宋体" w:hAnsi="宋体" w:eastAsia="宋体"/>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rPr>
            </w:pPr>
            <w:r>
              <w:rPr>
                <w:rFonts w:hint="eastAsia" w:ascii="宋体" w:hAnsi="宋体" w:eastAsia="宋体"/>
                <w:sz w:val="24"/>
                <w:szCs w:val="24"/>
                <w:lang w:val="en-US" w:eastAsia="zh-CN"/>
              </w:rPr>
              <w:t>翟荣兴</w:t>
            </w:r>
            <w:r>
              <w:rPr>
                <w:rFonts w:hint="eastAsia" w:ascii="宋体" w:hAnsi="宋体" w:eastAsia="宋体"/>
                <w:sz w:val="24"/>
                <w:szCs w:val="24"/>
              </w:rPr>
              <w:t xml:space="preserve"> </w:t>
            </w:r>
            <w:r>
              <w:rPr>
                <w:rFonts w:hint="eastAsia" w:ascii="宋体" w:hAnsi="宋体" w:eastAsia="宋体"/>
                <w:sz w:val="24"/>
                <w:szCs w:val="24"/>
                <w:lang w:val="en-US" w:eastAsia="zh-CN"/>
              </w:rPr>
              <w:t>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val="en-US" w:eastAsia="zh-CN"/>
              </w:rPr>
              <w:t>Rongxing</w:t>
            </w:r>
            <w:r>
              <w:rPr>
                <w:rFonts w:hint="eastAsia" w:ascii="宋体" w:hAnsi="宋体" w:eastAsia="宋体"/>
                <w:sz w:val="24"/>
                <w:szCs w:val="24"/>
              </w:rPr>
              <w:t>.</w:t>
            </w:r>
            <w:r>
              <w:rPr>
                <w:rFonts w:hint="eastAsia" w:ascii="宋体" w:hAnsi="宋体" w:eastAsia="宋体"/>
                <w:sz w:val="24"/>
                <w:szCs w:val="24"/>
                <w:lang w:val="en-US" w:eastAsia="zh-CN"/>
              </w:rPr>
              <w:t>Zhai</w:t>
            </w:r>
            <w:r>
              <w:rPr>
                <w:rFonts w:hint="eastAsia" w:ascii="宋体" w:hAnsi="宋体" w:eastAsia="宋体"/>
                <w:sz w:val="24"/>
                <w:szCs w:val="24"/>
              </w:rPr>
              <w:t>@geely.com</w:t>
            </w:r>
          </w:p>
        </w:tc>
      </w:tr>
    </w:tbl>
    <w:p>
      <w:pPr>
        <w:tabs>
          <w:tab w:val="left" w:pos="600"/>
        </w:tabs>
        <w:spacing w:line="440" w:lineRule="exact"/>
        <w:rPr>
          <w:rFonts w:ascii="宋体" w:hAnsi="宋体" w:eastAsia="宋体"/>
          <w:sz w:val="24"/>
          <w:szCs w:val="24"/>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pPr>
        <w:pStyle w:val="2"/>
        <w:rPr>
          <w:rFonts w:hint="eastAsia"/>
        </w:rPr>
      </w:pPr>
    </w:p>
    <w:p>
      <w:pPr>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附件一：询价函</w:t>
      </w:r>
    </w:p>
    <w:p>
      <w:pPr>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附件二：铝轮毂熔炼工序铝锶合金、铝钛硼质量要求细则</w:t>
      </w:r>
    </w:p>
    <w:p>
      <w:pPr>
        <w:pStyle w:val="2"/>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附件三：采购合同（模板）</w:t>
      </w:r>
    </w:p>
    <w:p>
      <w:pPr>
        <w:pStyle w:val="3"/>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附件四、竞价形式说明</w:t>
      </w:r>
    </w:p>
    <w:p>
      <w:pPr>
        <w:pStyle w:val="3"/>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附件五：参加确认函</w:t>
      </w:r>
    </w:p>
    <w:p>
      <w:pPr>
        <w:pStyle w:val="3"/>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p>
      <w:pPr>
        <w:pStyle w:val="3"/>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b w:val="0"/>
          <w:bCs/>
          <w:color w:val="auto"/>
          <w:sz w:val="24"/>
          <w:szCs w:val="24"/>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D4386E"/>
    <w:rsid w:val="06F63781"/>
    <w:rsid w:val="0A2E7D2E"/>
    <w:rsid w:val="0C6C07F6"/>
    <w:rsid w:val="0C7C5845"/>
    <w:rsid w:val="0CAD008F"/>
    <w:rsid w:val="0DE54DDD"/>
    <w:rsid w:val="0E3C3073"/>
    <w:rsid w:val="0E544459"/>
    <w:rsid w:val="0E6C3CDC"/>
    <w:rsid w:val="0EB115E1"/>
    <w:rsid w:val="0EC22769"/>
    <w:rsid w:val="113A610C"/>
    <w:rsid w:val="1323176D"/>
    <w:rsid w:val="136B5FB3"/>
    <w:rsid w:val="13934C8A"/>
    <w:rsid w:val="139B2695"/>
    <w:rsid w:val="17073614"/>
    <w:rsid w:val="17376344"/>
    <w:rsid w:val="18C56ABE"/>
    <w:rsid w:val="18C740FB"/>
    <w:rsid w:val="1B0E6548"/>
    <w:rsid w:val="1C0B4FDF"/>
    <w:rsid w:val="1C4170A8"/>
    <w:rsid w:val="1C5B2F04"/>
    <w:rsid w:val="1E235CAC"/>
    <w:rsid w:val="1EA413BD"/>
    <w:rsid w:val="1F2F4D5A"/>
    <w:rsid w:val="20C936A7"/>
    <w:rsid w:val="20EE2F4F"/>
    <w:rsid w:val="22B86521"/>
    <w:rsid w:val="237B1967"/>
    <w:rsid w:val="24782E39"/>
    <w:rsid w:val="24AF4570"/>
    <w:rsid w:val="256C065C"/>
    <w:rsid w:val="25F75EDB"/>
    <w:rsid w:val="263920D0"/>
    <w:rsid w:val="27FF17B9"/>
    <w:rsid w:val="28266776"/>
    <w:rsid w:val="29C32E28"/>
    <w:rsid w:val="2A7055D9"/>
    <w:rsid w:val="2ABF4217"/>
    <w:rsid w:val="2BA16A9E"/>
    <w:rsid w:val="2BB655EB"/>
    <w:rsid w:val="2D652737"/>
    <w:rsid w:val="2DE03868"/>
    <w:rsid w:val="2E036B4F"/>
    <w:rsid w:val="2F1D76D7"/>
    <w:rsid w:val="2F2E0DD3"/>
    <w:rsid w:val="30530CB9"/>
    <w:rsid w:val="329448A2"/>
    <w:rsid w:val="334F7CF1"/>
    <w:rsid w:val="33512E4B"/>
    <w:rsid w:val="337C12F0"/>
    <w:rsid w:val="33A5028C"/>
    <w:rsid w:val="33AF25AD"/>
    <w:rsid w:val="340A6022"/>
    <w:rsid w:val="34CB5BC3"/>
    <w:rsid w:val="34E47465"/>
    <w:rsid w:val="3523054D"/>
    <w:rsid w:val="362C5540"/>
    <w:rsid w:val="37FD118C"/>
    <w:rsid w:val="382C4A36"/>
    <w:rsid w:val="38AC6F88"/>
    <w:rsid w:val="3A3E06A3"/>
    <w:rsid w:val="3B0722D4"/>
    <w:rsid w:val="3B2A12CD"/>
    <w:rsid w:val="3C241EB0"/>
    <w:rsid w:val="3E4F3034"/>
    <w:rsid w:val="3EFB08B9"/>
    <w:rsid w:val="40541F75"/>
    <w:rsid w:val="408373C1"/>
    <w:rsid w:val="409E30A8"/>
    <w:rsid w:val="40FC4CB0"/>
    <w:rsid w:val="41034C6C"/>
    <w:rsid w:val="453D4A8D"/>
    <w:rsid w:val="45792638"/>
    <w:rsid w:val="45A92F0D"/>
    <w:rsid w:val="46BC3B00"/>
    <w:rsid w:val="47AB2817"/>
    <w:rsid w:val="487415C3"/>
    <w:rsid w:val="48C9616B"/>
    <w:rsid w:val="4AAA717F"/>
    <w:rsid w:val="4AB27DA5"/>
    <w:rsid w:val="4B45585D"/>
    <w:rsid w:val="4B922185"/>
    <w:rsid w:val="4F3E52A8"/>
    <w:rsid w:val="4F586394"/>
    <w:rsid w:val="4F5C1C0C"/>
    <w:rsid w:val="502D133B"/>
    <w:rsid w:val="51000484"/>
    <w:rsid w:val="536F00DE"/>
    <w:rsid w:val="537416DA"/>
    <w:rsid w:val="53FA3250"/>
    <w:rsid w:val="55497E47"/>
    <w:rsid w:val="561B446B"/>
    <w:rsid w:val="56B26B95"/>
    <w:rsid w:val="57C021E2"/>
    <w:rsid w:val="5AC801DA"/>
    <w:rsid w:val="5B2172A6"/>
    <w:rsid w:val="5D010967"/>
    <w:rsid w:val="5D50497C"/>
    <w:rsid w:val="5EED37AD"/>
    <w:rsid w:val="60934C78"/>
    <w:rsid w:val="60E72CCD"/>
    <w:rsid w:val="60FC4012"/>
    <w:rsid w:val="6106280A"/>
    <w:rsid w:val="61687CC9"/>
    <w:rsid w:val="617667AE"/>
    <w:rsid w:val="618F164B"/>
    <w:rsid w:val="61A241F9"/>
    <w:rsid w:val="62976BA7"/>
    <w:rsid w:val="62D46057"/>
    <w:rsid w:val="63EF192E"/>
    <w:rsid w:val="65BB3DCB"/>
    <w:rsid w:val="665A118E"/>
    <w:rsid w:val="66BB5779"/>
    <w:rsid w:val="66D01BEB"/>
    <w:rsid w:val="67714B74"/>
    <w:rsid w:val="682806B6"/>
    <w:rsid w:val="69E31C1A"/>
    <w:rsid w:val="6A10790E"/>
    <w:rsid w:val="6B3E03B6"/>
    <w:rsid w:val="6BE91E82"/>
    <w:rsid w:val="6C4538C5"/>
    <w:rsid w:val="6D260567"/>
    <w:rsid w:val="6E1038D1"/>
    <w:rsid w:val="6EA76F13"/>
    <w:rsid w:val="6F5D25CA"/>
    <w:rsid w:val="70C24E21"/>
    <w:rsid w:val="716B46DE"/>
    <w:rsid w:val="724F2B10"/>
    <w:rsid w:val="728F17A7"/>
    <w:rsid w:val="72AE035B"/>
    <w:rsid w:val="72E55401"/>
    <w:rsid w:val="72E96F62"/>
    <w:rsid w:val="73B93F82"/>
    <w:rsid w:val="74261A49"/>
    <w:rsid w:val="74735DC6"/>
    <w:rsid w:val="7600251B"/>
    <w:rsid w:val="76444236"/>
    <w:rsid w:val="76BF0406"/>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1670</Words>
  <Characters>1911</Characters>
  <Lines>13</Lines>
  <Paragraphs>3</Paragraphs>
  <TotalTime>12</TotalTime>
  <ScaleCrop>false</ScaleCrop>
  <LinksUpToDate>false</LinksUpToDate>
  <CharactersWithSpaces>1975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2023-05-11T00:13:45Z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