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50209938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百色双田矿业有限公司2023年下半年矿用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电缆采购项目</w:t>
      </w:r>
    </w:p>
    <w:p>
      <w:pPr>
        <w:autoSpaceDE w:val="0"/>
        <w:autoSpaceDN w:val="0"/>
        <w:adjustRightInd w:val="0"/>
        <w:snapToGrid w:val="0"/>
        <w:spacing w:line="600" w:lineRule="exact"/>
        <w:ind w:firstLine="723" w:firstLineChars="200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技术任务书</w:t>
      </w:r>
    </w:p>
    <w:p>
      <w:pPr>
        <w:pStyle w:val="25"/>
        <w:ind w:firstLine="422"/>
        <w:jc w:val="center"/>
        <w:rPr>
          <w:rFonts w:hint="eastAsia" w:ascii="宋体" w:hAnsi="宋体" w:eastAsia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甲方（全称）：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百色双田矿业有限公司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乙方（全称）：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一、项目概况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百色双田矿业有限公司2023年下半年矿用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电缆采购项目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项目地点：广西百色市右江区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田东县</w:t>
      </w:r>
    </w:p>
    <w:p>
      <w:pPr>
        <w:autoSpaceDE w:val="0"/>
        <w:autoSpaceDN w:val="0"/>
        <w:adjustRightInd w:val="0"/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项目内容：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百色双田矿业有限公司下属东怀、那荷、跃进、州景煤矿2023年下半年因安全生产需要，计划采购一批煤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矿用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阻燃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电缆。</w:t>
      </w:r>
    </w:p>
    <w:p>
      <w:pPr>
        <w:pStyle w:val="55"/>
        <w:numPr>
          <w:ilvl w:val="0"/>
          <w:numId w:val="0"/>
        </w:numPr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5"/>
        <w:numPr>
          <w:ilvl w:val="0"/>
          <w:numId w:val="0"/>
        </w:num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主要设备清单</w:t>
      </w:r>
    </w:p>
    <w:tbl>
      <w:tblPr>
        <w:tblStyle w:val="26"/>
        <w:tblpPr w:leftFromText="180" w:rightFromText="180" w:vertAnchor="text" w:horzAnchor="page" w:tblpX="385" w:tblpY="402"/>
        <w:tblOverlap w:val="never"/>
        <w:tblW w:w="11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0"/>
        <w:gridCol w:w="3720"/>
        <w:gridCol w:w="798"/>
        <w:gridCol w:w="822"/>
        <w:gridCol w:w="720"/>
        <w:gridCol w:w="850"/>
        <w:gridCol w:w="864"/>
        <w:gridCol w:w="877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4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百色双田矿业有限公司2023年下半年矿用阻燃电缆采购清单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各矿计划采购数量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东怀煤矿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那荷煤矿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跃进煤矿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州景煤矿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矿用通讯电缆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MHYV-1×4×7/0.43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矿用信号电缆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MHYV-1×6×7/0.43（蓝色）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MYQ-0.3/0.5KV-4×1.5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MYP-0.66/1.14KV-3×6+1×6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MYP-0.66/1.14KV-3×10+1×10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MYP-0.66/1.14KV-3×25+1×16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MYP-0.66/1.14KV-3×35+1×16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MYP-0.66/1.14KV-3×50+1×25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MYP-0.66/1.14KV-3×70+1×25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MYP-0.66/1.14KV-3×120+1×35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MYP-0.66/1.14KV-3×150+1×35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采煤机专用电缆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MCP-0.66/1.14KV-3×35+1×16+4×4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采煤机专用电缆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MCP-0.66/1.14KV-3×50+1×25+4×4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采煤机专用电缆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MCP-0.66/1.14KV-3×70+1×25+4×6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采煤机专用电缆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MCP-0.66/1.14KV-3×120+1×35+4×6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矿用高压屏蔽橡套电缆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MYPTJ-6/10KV  3×70+3×35/3+3×2.5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矿用高压铠装电缆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MYJV22-6/10kv-3×120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矿用高压铠装电缆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MYJV22-6/10kv-3×185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矿用高压铠装电缆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MYJV22-6/10kv-3×240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360" w:lineRule="auto"/>
        <w:ind w:firstLine="422" w:firstLineChars="20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三、遵循的技术规范和文件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GB/T 2951-2008     电缆绝缘和护套材料通用试验方法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2952-2008     电缆外护套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3048-2007     电线电缆电性能试验方法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3953-2009     电工圆铜线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3956-2008     电缆的导体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6995-2008     电线电缆识别标志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JB/T 8137-1999     电线电缆交货盘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GB/T 12972-2008   矿用橡套软电缆</w:t>
      </w:r>
    </w:p>
    <w:p>
      <w:pPr>
        <w:pStyle w:val="17"/>
        <w:spacing w:after="0" w:line="480" w:lineRule="exact"/>
        <w:ind w:left="0" w:leftChars="0" w:firstLine="360" w:firstLineChars="15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MT 386-2011      煤矿用阻燃电缆阻燃性的试验方法和判定规则</w:t>
      </w:r>
    </w:p>
    <w:p>
      <w:pPr>
        <w:pStyle w:val="17"/>
        <w:spacing w:after="0" w:line="480" w:lineRule="exact"/>
        <w:ind w:left="0" w:leftChars="0"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MT 818.5-2009    煤矿用电缆 第5部分：额定电压0.66-1.14KV及以下移动软电缆</w:t>
      </w:r>
    </w:p>
    <w:p>
      <w:pPr>
        <w:pStyle w:val="17"/>
        <w:spacing w:after="0" w:line="480" w:lineRule="exact"/>
        <w:ind w:left="0" w:leftChars="0"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MT 818.6-2009    煤矿用电缆 第6部分：额定电压8.7-10KV及以下移动金属屏蔽监视型软电缆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GB/T 12706.2-2008  额定电压1kV到35kV挤包绝缘电力电缆及附件第2部分：额定电压6kV到30kV电缆</w:t>
      </w:r>
    </w:p>
    <w:p>
      <w:pPr>
        <w:pStyle w:val="17"/>
        <w:spacing w:after="0" w:line="480" w:lineRule="exact"/>
        <w:ind w:left="0" w:leftChars="0" w:firstLine="600" w:firstLineChars="250"/>
        <w:rPr>
          <w:rFonts w:hint="default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煤矿安全规程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最新版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四、使用环境条件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1.工作环境条件：有瓦斯、煤尘，空气潮湿，空气湿度大于90%，环境温度15°C～+60°C。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2.运行条件：额定工作电压和频率：低压橡套电缆0.66-1.14KV，高压橡套电缆8.7-10KV，50Hz；系统接地方式为中性点不接地或灭弧经消弧线圈接地系统。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3.敷设条件：敷设环境有直埋、沟槽、排管、排沟、隧道、架桥、竖井等多种方式。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4.运行要求：电缆导体的额定运行温度为90°C，短路时电缆导体的最高温度不超过250°C。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5.电缆允许弯曲半径：不小于15倍电缆的实际外径。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五、主要技术要求</w:t>
      </w:r>
    </w:p>
    <w:p>
      <w:pPr>
        <w:pStyle w:val="30"/>
        <w:spacing w:line="480" w:lineRule="exact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本次采购的电缆，执行标准为MT 818.5-2009、MT 818.6-2009，其技术参数除应符合GB12972的要求外，还应满足以下要求。</w:t>
      </w:r>
    </w:p>
    <w:p>
      <w:pPr>
        <w:adjustRightInd w:val="0"/>
        <w:spacing w:line="480" w:lineRule="exact"/>
        <w:ind w:firstLine="480" w:firstLineChars="200"/>
        <w:outlineLvl w:val="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1.导体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导体应符合GB/T 3956-1997中第2种退火铜导体的要求。导体表面应光洁、无油污，无损伤屏蔽及绝缘的毛刺、锐边，无凸起或断裂的单线；绝缘胶符合GB7594.8中XJ—30A规定，抗张强度应不低于6.5MPa；护套胶符合GB7594.7中XH—03A规定，且抗撕强度不低于5.0N/mm。导体直流电阻、绝缘电阻、电压试验符合相应产品标准要求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2.导体屏蔽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导体屏蔽为挤包的交联半导电层，半导电层应均匀地包覆在导体上，表面光滑，无明显绞线凸纹、不应有尖角、颗粒、烧焦和擦伤的痕迹。在剥离导体的痕迹时，半导电层不应有卡留在导体绞股之间的现象。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3. 绝缘</w:t>
      </w:r>
    </w:p>
    <w:p>
      <w:pPr>
        <w:pStyle w:val="30"/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绝缘外面采用金属/纤维编织，电缆绝缘层、护套层平均厚度及最薄点厚度符合产品标准要求，电缆外径在标准要求范围内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绝缘应为XJ-30型，用乙丙橡胶或其他相当材料的混合物组成的橡皮，绝缘厚度3.4mm；绝缘平均厚度不小于标称值，最薄点厚度应不小于标称值90%，任一断面的偏芯率{（最大测量厚度-最小测量厚度）/最大测量厚度}应不大于10%。</w:t>
      </w:r>
    </w:p>
    <w:p>
      <w:pPr>
        <w:pStyle w:val="30"/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绝缘屏蔽</w:t>
      </w:r>
    </w:p>
    <w:p>
      <w:pPr>
        <w:pStyle w:val="30"/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采用半导电挤包层或半导电带包层，半导电层均匀地包覆在绝缘表面，表面光滑，无尖角、颗粒、烧焦或擦伤的痕迹。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5. 金属屏蔽</w:t>
      </w:r>
    </w:p>
    <w:p>
      <w:pPr>
        <w:pStyle w:val="30"/>
        <w:spacing w:line="480" w:lineRule="exact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金属屏蔽由重叠绕包的软铜带组成，绕包光滑圆整，搭盖率不小于15%，铜带厚度单芯不小于0.12mm，三芯不小于0.10mm。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6.填充及内衬层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电缆填充圆整,三芯铜带接触良好。内衬层采用90℃橡皮，内衬层的厚度符合GB/T 2952的规定。</w:t>
      </w:r>
    </w:p>
    <w:p>
      <w:pPr>
        <w:pStyle w:val="30"/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护套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材料用90℃橡皮，性能符合MT 818.5和MT 818.6的规定。护套厚度符合GB/T 2952规定，其最薄处厚度不小于标称值80%-0.2mm。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8.阻燃性能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负载燃烧试验、单根垂直燃烧试验、成束燃烧试验应达到MT/T 386-2011</w:t>
      </w:r>
    </w:p>
    <w:p>
      <w:pPr>
        <w:pStyle w:val="30"/>
        <w:spacing w:line="480" w:lineRule="exact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标准中的各项试验要求。</w:t>
      </w:r>
    </w:p>
    <w:p>
      <w:pPr>
        <w:pStyle w:val="30"/>
        <w:numPr>
          <w:ilvl w:val="0"/>
          <w:numId w:val="0"/>
        </w:numPr>
        <w:spacing w:line="480" w:lineRule="exact"/>
        <w:ind w:lef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成品电缆标志</w:t>
      </w:r>
    </w:p>
    <w:p>
      <w:pPr>
        <w:pStyle w:val="30"/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8"/>
          <w14:textFill>
            <w14:solidFill>
              <w14:schemeClr w14:val="tx1"/>
            </w14:solidFill>
          </w14:textFill>
        </w:rPr>
        <w:t>成品电缆的外护套表面应连续凸印或印刷厂名、型号、电压、导体截面、制造年份和计米长度标志，不得连续500mm内无标志。</w:t>
      </w:r>
    </w:p>
    <w:p>
      <w:pPr>
        <w:adjustRightInd w:val="0"/>
        <w:spacing w:line="480" w:lineRule="exact"/>
        <w:outlineLvl w:val="0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六、其他要求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1、提供有出厂电缆性能检测报告及阻燃检验报告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第三方阻燃检验报告原件（委托单位为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对应的甲方使用单位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），生产许可证、煤安标志和产品出厂合格证。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2、交货日期：</w:t>
      </w:r>
      <w:r>
        <w:rPr>
          <w:rFonts w:hint="eastAsia" w:ascii="宋体" w:hAnsi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约定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3、到货地点：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指定地点。              </w:t>
      </w:r>
      <w:bookmarkStart w:id="1" w:name="_GoBack"/>
      <w:bookmarkEnd w:id="1"/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七、售后服务和质量保证</w:t>
      </w:r>
    </w:p>
    <w:p>
      <w:pPr>
        <w:adjustRightInd w:val="0"/>
        <w:spacing w:line="480" w:lineRule="exact"/>
        <w:ind w:firstLine="480" w:firstLineChars="200"/>
        <w:outlineLvl w:val="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货物运抵现场进行初步验收，一年使用无质量问题则进行最终验收。质保期为一年，在质保期内如因产品质量问题出现故障，乙方将无偿更换电缆，并视情节对造成的损失承担相应责任。</w:t>
      </w:r>
    </w:p>
    <w:p>
      <w:pPr>
        <w:tabs>
          <w:tab w:val="left" w:pos="3650"/>
        </w:tabs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八、运输及包装要求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1.产品单独出厂时应在明显部位固定标牌，其内容包括产品名称、型号、主要技术参数、制造厂家名称、出厂日期等信息；</w:t>
      </w:r>
    </w:p>
    <w:p>
      <w:pPr>
        <w:spacing w:line="48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2.运输费用由乙方负责。</w:t>
      </w:r>
    </w:p>
    <w:p>
      <w:pPr>
        <w:pStyle w:val="2"/>
        <w:spacing w:before="0" w:after="0" w:line="4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九、其他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1、本技术规格书未尽事宜，由双方协商确定。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2、技术联系人：蓝红日13977601071</w:t>
      </w: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  <w:r>
      <w:drawing>
        <wp:inline distT="0" distB="0" distL="114300" distR="114300">
          <wp:extent cx="1304925" cy="314325"/>
          <wp:effectExtent l="0" t="0" r="9525" b="9525"/>
          <wp:docPr id="1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340AD"/>
    <w:multiLevelType w:val="singleLevel"/>
    <w:tmpl w:val="709340A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OWRmYzQ0NDdhYjIxODA2ODY5ODg5NjJlZGY2N2QifQ=="/>
  </w:docVars>
  <w:rsids>
    <w:rsidRoot w:val="00F62269"/>
    <w:rsid w:val="00077184"/>
    <w:rsid w:val="00097236"/>
    <w:rsid w:val="001220BD"/>
    <w:rsid w:val="001258C3"/>
    <w:rsid w:val="00144403"/>
    <w:rsid w:val="00172F01"/>
    <w:rsid w:val="002826B2"/>
    <w:rsid w:val="0028570C"/>
    <w:rsid w:val="00290C9C"/>
    <w:rsid w:val="003035AC"/>
    <w:rsid w:val="00376436"/>
    <w:rsid w:val="00591CDB"/>
    <w:rsid w:val="006D61CA"/>
    <w:rsid w:val="0088085B"/>
    <w:rsid w:val="008A5381"/>
    <w:rsid w:val="008E07B7"/>
    <w:rsid w:val="008F7FDD"/>
    <w:rsid w:val="009559FF"/>
    <w:rsid w:val="0097268C"/>
    <w:rsid w:val="00977B61"/>
    <w:rsid w:val="009B0BCD"/>
    <w:rsid w:val="00A37526"/>
    <w:rsid w:val="00A52AB3"/>
    <w:rsid w:val="00A90347"/>
    <w:rsid w:val="00B035E4"/>
    <w:rsid w:val="00BA477E"/>
    <w:rsid w:val="00CD7AB6"/>
    <w:rsid w:val="00D9498B"/>
    <w:rsid w:val="00DA26FF"/>
    <w:rsid w:val="00E93902"/>
    <w:rsid w:val="00E951B4"/>
    <w:rsid w:val="00F41699"/>
    <w:rsid w:val="00F53FFB"/>
    <w:rsid w:val="00F62269"/>
    <w:rsid w:val="00F82E61"/>
    <w:rsid w:val="00FA0EA6"/>
    <w:rsid w:val="00FF0300"/>
    <w:rsid w:val="03FE76F1"/>
    <w:rsid w:val="08002359"/>
    <w:rsid w:val="0A885698"/>
    <w:rsid w:val="0D853C4F"/>
    <w:rsid w:val="0F433449"/>
    <w:rsid w:val="12FA5F09"/>
    <w:rsid w:val="1BEA6AB3"/>
    <w:rsid w:val="1FFE0795"/>
    <w:rsid w:val="1FFE32B4"/>
    <w:rsid w:val="207872B9"/>
    <w:rsid w:val="22ED0691"/>
    <w:rsid w:val="239D51F3"/>
    <w:rsid w:val="250A3BB0"/>
    <w:rsid w:val="28AD539C"/>
    <w:rsid w:val="2C040421"/>
    <w:rsid w:val="2C713C18"/>
    <w:rsid w:val="2E7F09BB"/>
    <w:rsid w:val="2FF3430D"/>
    <w:rsid w:val="32A33B96"/>
    <w:rsid w:val="3C0E6F41"/>
    <w:rsid w:val="41EC337F"/>
    <w:rsid w:val="479704D4"/>
    <w:rsid w:val="4C1A47B5"/>
    <w:rsid w:val="4D341EAC"/>
    <w:rsid w:val="52884E50"/>
    <w:rsid w:val="52FE593D"/>
    <w:rsid w:val="55881303"/>
    <w:rsid w:val="56177495"/>
    <w:rsid w:val="56567848"/>
    <w:rsid w:val="59292684"/>
    <w:rsid w:val="599D4EEC"/>
    <w:rsid w:val="59B55D12"/>
    <w:rsid w:val="5AF852F0"/>
    <w:rsid w:val="5F791449"/>
    <w:rsid w:val="62602814"/>
    <w:rsid w:val="64227C7A"/>
    <w:rsid w:val="696D22F9"/>
    <w:rsid w:val="6B986B3B"/>
    <w:rsid w:val="6C472158"/>
    <w:rsid w:val="6DD66DEA"/>
    <w:rsid w:val="6F0F61D9"/>
    <w:rsid w:val="72DF0599"/>
    <w:rsid w:val="74ED4F7E"/>
    <w:rsid w:val="77845649"/>
    <w:rsid w:val="7F4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5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5">
    <w:name w:val="heading 4"/>
    <w:basedOn w:val="1"/>
    <w:next w:val="1"/>
    <w:link w:val="36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6">
    <w:name w:val="heading 5"/>
    <w:basedOn w:val="1"/>
    <w:next w:val="1"/>
    <w:link w:val="37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7">
    <w:name w:val="heading 6"/>
    <w:basedOn w:val="1"/>
    <w:next w:val="1"/>
    <w:link w:val="38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8">
    <w:name w:val="heading 7"/>
    <w:basedOn w:val="1"/>
    <w:next w:val="1"/>
    <w:link w:val="39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9">
    <w:name w:val="heading 8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41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9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2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3">
    <w:name w:val="Body Text 3"/>
    <w:basedOn w:val="1"/>
    <w:link w:val="46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15">
    <w:name w:val="Plain Text"/>
    <w:basedOn w:val="1"/>
    <w:link w:val="50"/>
    <w:semiHidden/>
    <w:unhideWhenUsed/>
    <w:qFormat/>
    <w:uiPriority w:val="99"/>
    <w:rPr>
      <w:rFonts w:ascii="宋体" w:hAnsi="Courier New"/>
      <w:szCs w:val="20"/>
    </w:rPr>
  </w:style>
  <w:style w:type="paragraph" w:styleId="16">
    <w:name w:val="Date"/>
    <w:basedOn w:val="1"/>
    <w:next w:val="1"/>
    <w:link w:val="45"/>
    <w:semiHidden/>
    <w:unhideWhenUsed/>
    <w:qFormat/>
    <w:uiPriority w:val="99"/>
    <w:rPr>
      <w:sz w:val="24"/>
      <w:szCs w:val="20"/>
    </w:rPr>
  </w:style>
  <w:style w:type="paragraph" w:styleId="17">
    <w:name w:val="Body Text Indent 2"/>
    <w:basedOn w:val="1"/>
    <w:link w:val="47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8">
    <w:name w:val="Balloon Text"/>
    <w:basedOn w:val="1"/>
    <w:link w:val="52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19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48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3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4">
    <w:name w:val="annotation subject"/>
    <w:basedOn w:val="12"/>
    <w:next w:val="12"/>
    <w:link w:val="51"/>
    <w:semiHidden/>
    <w:unhideWhenUsed/>
    <w:qFormat/>
    <w:uiPriority w:val="99"/>
    <w:rPr>
      <w:b/>
      <w:bCs/>
    </w:rPr>
  </w:style>
  <w:style w:type="paragraph" w:styleId="25">
    <w:name w:val="Body Text First Indent 2"/>
    <w:basedOn w:val="14"/>
    <w:link w:val="72"/>
    <w:semiHidden/>
    <w:unhideWhenUsed/>
    <w:qFormat/>
    <w:uiPriority w:val="99"/>
    <w:pPr>
      <w:ind w:firstLine="420" w:firstLineChars="200"/>
    </w:p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1"/>
      <w:szCs w:val="24"/>
      <w:lang w:val="en-US" w:eastAsia="zh-CN" w:bidi="ar-SA"/>
    </w:rPr>
  </w:style>
  <w:style w:type="character" w:customStyle="1" w:styleId="31">
    <w:name w:val="标题 1 字符"/>
    <w:basedOn w:val="28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页眉 字符"/>
    <w:basedOn w:val="28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字符"/>
    <w:basedOn w:val="28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标题 2 字符"/>
    <w:basedOn w:val="28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5">
    <w:name w:val="标题 3 字符"/>
    <w:basedOn w:val="28"/>
    <w:link w:val="4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6">
    <w:name w:val="标题 4 字符"/>
    <w:basedOn w:val="28"/>
    <w:link w:val="5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7">
    <w:name w:val="标题 5 字符"/>
    <w:basedOn w:val="28"/>
    <w:link w:val="6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8">
    <w:name w:val="标题 6 字符"/>
    <w:basedOn w:val="28"/>
    <w:link w:val="7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39">
    <w:name w:val="标题 7 字符"/>
    <w:basedOn w:val="28"/>
    <w:link w:val="8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8 字符"/>
    <w:basedOn w:val="28"/>
    <w:link w:val="9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1">
    <w:name w:val="标题 9 字符"/>
    <w:basedOn w:val="28"/>
    <w:link w:val="10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2">
    <w:name w:val="批注文字 字符"/>
    <w:basedOn w:val="28"/>
    <w:link w:val="1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3">
    <w:name w:val="标题 字符"/>
    <w:basedOn w:val="28"/>
    <w:link w:val="2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4">
    <w:name w:val="正文文本缩进 字符"/>
    <w:basedOn w:val="28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"/>
    <w:basedOn w:val="28"/>
    <w:link w:val="16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6">
    <w:name w:val="正文文本 3 字符"/>
    <w:basedOn w:val="28"/>
    <w:link w:val="1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7">
    <w:name w:val="正文文本缩进 2 字符"/>
    <w:basedOn w:val="28"/>
    <w:link w:val="17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8">
    <w:name w:val="正文文本缩进 3 字符"/>
    <w:basedOn w:val="28"/>
    <w:link w:val="21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49">
    <w:name w:val="文档结构图 字符"/>
    <w:basedOn w:val="28"/>
    <w:link w:val="1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0">
    <w:name w:val="纯文本 字符"/>
    <w:basedOn w:val="28"/>
    <w:link w:val="15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1">
    <w:name w:val="批注主题 字符"/>
    <w:basedOn w:val="42"/>
    <w:link w:val="24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2">
    <w:name w:val="批注框文本 字符"/>
    <w:basedOn w:val="28"/>
    <w:link w:val="18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3">
    <w:name w:val="无间隔 字符"/>
    <w:link w:val="54"/>
    <w:qFormat/>
    <w:locked/>
    <w:uiPriority w:val="1"/>
    <w:rPr>
      <w:sz w:val="22"/>
    </w:rPr>
  </w:style>
  <w:style w:type="paragraph" w:styleId="54">
    <w:name w:val="No Spacing"/>
    <w:link w:val="53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7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8">
    <w:name w:val="正文文本缩进 Char Char"/>
    <w:link w:val="59"/>
    <w:qFormat/>
    <w:locked/>
    <w:uiPriority w:val="0"/>
    <w:rPr>
      <w:szCs w:val="24"/>
    </w:rPr>
  </w:style>
  <w:style w:type="paragraph" w:customStyle="1" w:styleId="59">
    <w:name w:val="正文文本缩进1"/>
    <w:basedOn w:val="1"/>
    <w:link w:val="58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0">
    <w:name w:val="批注文字 Char1"/>
    <w:basedOn w:val="28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1">
    <w:name w:val="标题 Char1"/>
    <w:basedOn w:val="28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2">
    <w:name w:val="正文文本缩进 Char1"/>
    <w:basedOn w:val="28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3">
    <w:name w:val="日期 Char1"/>
    <w:basedOn w:val="28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正文文本 3 Char1"/>
    <w:basedOn w:val="28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5">
    <w:name w:val="正文文本缩进 2 Char1"/>
    <w:basedOn w:val="28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6">
    <w:name w:val="正文文本缩进 3 Char1"/>
    <w:basedOn w:val="28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7">
    <w:name w:val="文档结构图 Char1"/>
    <w:basedOn w:val="28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8">
    <w:name w:val="纯文本 Char1"/>
    <w:basedOn w:val="28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9">
    <w:name w:val="批注主题 Char1"/>
    <w:basedOn w:val="60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character" w:customStyle="1" w:styleId="70">
    <w:name w:val="font41"/>
    <w:basedOn w:val="2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1">
    <w:name w:val="font31"/>
    <w:basedOn w:val="2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72">
    <w:name w:val="正文文本首行缩进 2 字符"/>
    <w:basedOn w:val="44"/>
    <w:link w:val="2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2042</Words>
  <Characters>2911</Characters>
  <Lines>4</Lines>
  <Paragraphs>4</Paragraphs>
  <TotalTime>1</TotalTime>
  <ScaleCrop>false</ScaleCrop>
  <LinksUpToDate>false</LinksUpToDate>
  <CharactersWithSpaces>3080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2019-05-06T01:24:00Z</dcterms:created>
  <dc:creator>zhang.huajun</dc:creator>
  <cp:lastModifiedBy>相识是缘</cp:lastModifiedBy>
  <cp:lastPrinted>2020-04-28T01:24:00Z</cp:lastPrinted>
  <dcterms:modified xsi:type="dcterms:W3CDTF">2023-05-10T23:16:58Z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8EE67AFC88954CF1949A3BE3BFAC948B_13</vt:lpwstr>
  </property>
</Properties>
</file>