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val="en-US" w:eastAsia="zh-CN"/>
        </w:rPr>
        <w:t>吉利百矿集团电解铝、电力业务部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val="en-US" w:eastAsia="zh-CN"/>
        </w:rPr>
        <w:t>2023年清洁物资采购项目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生产辅料类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吉利百矿集团电解铝、电力业务部2023年清洁物资采购项目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6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3"/>
          <w:szCs w:val="23"/>
          <w:lang w:eastAsia="zh-CN"/>
        </w:rPr>
        <w:t>为</w:t>
      </w:r>
      <w:r>
        <w:rPr>
          <w:rFonts w:hint="eastAsia" w:ascii="微软雅黑" w:hAnsi="微软雅黑" w:eastAsia="微软雅黑" w:cs="微软雅黑"/>
          <w:color w:val="000000"/>
          <w:sz w:val="23"/>
          <w:szCs w:val="23"/>
          <w:lang w:val="zh-CN"/>
        </w:rPr>
        <w:t>确保</w:t>
      </w:r>
      <w:r>
        <w:rPr>
          <w:rFonts w:hint="eastAsia" w:ascii="微软雅黑" w:hAnsi="微软雅黑" w:eastAsia="微软雅黑" w:cs="微软雅黑"/>
          <w:color w:val="000000"/>
          <w:sz w:val="23"/>
          <w:szCs w:val="23"/>
          <w:lang w:eastAsia="zh-CN"/>
        </w:rPr>
        <w:t>各</w:t>
      </w:r>
      <w:r>
        <w:rPr>
          <w:rFonts w:hint="eastAsia" w:ascii="微软雅黑" w:hAnsi="微软雅黑" w:eastAsia="微软雅黑" w:cs="微软雅黑"/>
          <w:color w:val="auto"/>
          <w:sz w:val="23"/>
          <w:szCs w:val="23"/>
          <w:lang w:eastAsia="zh-CN"/>
        </w:rPr>
        <w:t>厂</w:t>
      </w:r>
      <w:r>
        <w:rPr>
          <w:rFonts w:hint="eastAsia" w:ascii="微软雅黑" w:hAnsi="微软雅黑" w:eastAsia="微软雅黑" w:cs="微软雅黑"/>
          <w:color w:val="auto"/>
          <w:sz w:val="23"/>
          <w:szCs w:val="23"/>
          <w:lang w:val="en-US" w:eastAsia="zh-CN"/>
        </w:rPr>
        <w:t>安全生产</w:t>
      </w:r>
      <w:r>
        <w:rPr>
          <w:rFonts w:hint="eastAsia" w:ascii="微软雅黑" w:hAnsi="微软雅黑" w:eastAsia="微软雅黑" w:cs="微软雅黑"/>
          <w:color w:val="000000"/>
          <w:sz w:val="23"/>
          <w:szCs w:val="23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sz w:val="23"/>
          <w:szCs w:val="23"/>
        </w:rPr>
        <w:t>现</w:t>
      </w:r>
      <w:r>
        <w:rPr>
          <w:rFonts w:hint="eastAsia" w:ascii="微软雅黑" w:hAnsi="微软雅黑" w:eastAsia="微软雅黑" w:cs="微软雅黑"/>
          <w:color w:val="000000"/>
          <w:sz w:val="23"/>
          <w:szCs w:val="23"/>
          <w:lang w:val="en-US" w:eastAsia="zh-CN"/>
        </w:rPr>
        <w:t>就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吉利百矿集团电解铝、电力业务部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lang w:val="en-US" w:eastAsia="zh-CN" w:bidi="ar-SA"/>
        </w:rPr>
        <w:t>2023年清洁物资采购项目</w:t>
      </w:r>
      <w:r>
        <w:rPr>
          <w:rFonts w:hint="eastAsia" w:ascii="微软雅黑" w:hAnsi="微软雅黑" w:eastAsia="微软雅黑" w:cs="微软雅黑"/>
          <w:color w:val="000000"/>
          <w:sz w:val="23"/>
          <w:szCs w:val="23"/>
          <w:lang w:val="zh-CN" w:eastAsia="zh-CN"/>
        </w:rPr>
        <w:t>进行联合</w:t>
      </w:r>
      <w:r>
        <w:rPr>
          <w:rFonts w:hint="eastAsia" w:ascii="微软雅黑" w:hAnsi="微软雅黑" w:eastAsia="微软雅黑" w:cs="微软雅黑"/>
          <w:color w:val="000000"/>
          <w:sz w:val="23"/>
          <w:szCs w:val="23"/>
          <w:lang w:eastAsia="zh-CN"/>
        </w:rPr>
        <w:t>公开</w:t>
      </w:r>
      <w:r>
        <w:rPr>
          <w:rFonts w:hint="eastAsia" w:ascii="微软雅黑" w:hAnsi="微软雅黑" w:eastAsia="微软雅黑" w:cs="微软雅黑"/>
          <w:color w:val="000000"/>
          <w:sz w:val="23"/>
          <w:szCs w:val="23"/>
        </w:rPr>
        <w:t>招标</w:t>
      </w:r>
      <w:r>
        <w:rPr>
          <w:rFonts w:hint="eastAsia" w:ascii="微软雅黑" w:hAnsi="微软雅黑" w:eastAsia="微软雅黑" w:cs="微软雅黑"/>
          <w:color w:val="000000"/>
          <w:sz w:val="23"/>
          <w:szCs w:val="23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欢迎有实力的单位参与此次招标活动。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tbl>
      <w:tblPr>
        <w:tblStyle w:val="10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1918"/>
        <w:gridCol w:w="1804"/>
        <w:gridCol w:w="1682"/>
        <w:gridCol w:w="798"/>
        <w:gridCol w:w="960"/>
        <w:gridCol w:w="14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吉利百矿集团电解铝、电力业务部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扫把、拖把、碎布条等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具体以招标文件技术任务书为准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object>
                <v:shape id="_x0000_i1025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xcel.Sheet.12" ShapeID="_x0000_i1025" DrawAspect="Icon" ObjectID="_1468075725" r:id="rId7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备注：1.具体技术参数详见招标文件技术任务书。2.按季度进行采购，所签订合同为开口合同，期限为一年。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3.投标人资格要求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本次招标要求投标人具备以下资质。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3.2遵守中华人民共和国有关法律、法规和条例。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年在国内不少于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2个类似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业绩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。（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业绩须附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列表及对应列表的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扫描件含首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尾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页、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合同供货清单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、签字盖章页，否则按无效业绩处理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近年来有较好业绩且无不良商业行为。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具有良好的商业信誉和健全的财务会计制度。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/>
          <w:color w:val="auto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b/>
          <w:color w:val="auto"/>
          <w:sz w:val="24"/>
          <w:szCs w:val="24"/>
        </w:rPr>
        <w:t>4.投标报名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  <w:t>4.1报名方式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2"/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zb.geely.com</w:t>
      </w:r>
      <w:r>
        <w:rPr>
          <w:rStyle w:val="12"/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  <w:t>4.2报名资料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80" w:lineRule="exact"/>
        <w:ind w:leftChars="0"/>
        <w:textAlignment w:val="auto"/>
        <w:rPr>
          <w:rFonts w:hint="eastAsia" w:eastAsia="宋体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a、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三证合一的营业执照副本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b、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类似项目业绩证明及证明材料（提供合同扫描件，涉及机密部分可隐去）；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c、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企业概况及履约能力说明；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d、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两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经第三方审计的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财务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审计报告或税务系统下载的年度财务报表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资料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  <w:t>4.3提交材料要求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XXX供应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广西百矿铝业有限公司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广西德保百矿铝业有限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扫把等清洁物资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供应）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报名资料需在报名截止时间前上传，逾期报名无效。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5.招标文件的获取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元，售后不退；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</w:rPr>
        <w:t>开户户名：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  <w:lang w:val="en-US" w:eastAsia="zh-CN"/>
        </w:rPr>
        <w:t xml:space="preserve">  吉利百矿集团有限公司       </w:t>
      </w:r>
    </w:p>
    <w:p>
      <w:pPr>
        <w:spacing w:line="440" w:lineRule="exact"/>
        <w:ind w:firstLine="480" w:firstLineChars="200"/>
        <w:rPr>
          <w:rFonts w:hint="default" w:ascii="微软雅黑" w:hAnsi="微软雅黑" w:eastAsia="微软雅黑" w:cs="微软雅黑"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</w:rPr>
        <w:t>开户银行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  <w:t>建设银行百色中山支行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  <w:lang w:val="en-US" w:eastAsia="zh-CN"/>
        </w:rPr>
        <w:t xml:space="preserve">         </w:t>
      </w:r>
    </w:p>
    <w:p>
      <w:pPr>
        <w:spacing w:line="440" w:lineRule="exact"/>
        <w:ind w:firstLine="480" w:firstLineChars="200"/>
        <w:rPr>
          <w:rFonts w:hint="default" w:ascii="微软雅黑" w:hAnsi="微软雅黑" w:eastAsia="微软雅黑" w:cs="微软雅黑"/>
          <w:bCs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  <w:lang w:val="en-US" w:eastAsia="zh-CN"/>
        </w:rPr>
        <w:t>开户账号：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  <w:t>45001676114050702700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  <w:lang w:val="en-US" w:eastAsia="zh-CN"/>
        </w:rPr>
        <w:t xml:space="preserve">      </w:t>
      </w:r>
    </w:p>
    <w:p>
      <w:pPr>
        <w:pStyle w:val="2"/>
        <w:rPr>
          <w:rFonts w:hint="default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6.发布公告的媒介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zb.geely.com上发布，其他媒体转载无效。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7.联系方式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招标人：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 w:eastAsia="zh-CN"/>
        </w:rPr>
        <w:t>广西百矿铝业有限公司、广西德保百矿铝业有限公司、广西田林百矿铝业有限公司、广西隆林百矿铝业有限公司、百色百矿发电有限公司、广西百色银海发电有限公司、百色百矿发电有限公司田东电厂、广西德保百矿发电有限公司、百色百矿水电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招标组织单位：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吉利百矿集团有限公司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招标组织单位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地址：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广西百色市右江区东增路188号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 xml:space="preserve">吉利百矿集团开标室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邮编：533615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黄媛媛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 xml:space="preserve"> 手机号 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18377658079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 E-mail:Yuanyuan.Huang02@geely.com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技术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: 廖英祥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手机号 15077685210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E-mail:Yingxiang.Liao@geely.com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投诉、举报电话：0571-28098168（吉利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科技供应链管理部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</w:p>
    <w:p>
      <w:pPr>
        <w:pStyle w:val="2"/>
        <w:rPr>
          <w:rFonts w:hint="eastAsia"/>
          <w:color w:val="auto"/>
        </w:rPr>
      </w:pPr>
    </w:p>
    <w:p>
      <w:pPr>
        <w:spacing w:line="440" w:lineRule="exact"/>
        <w:ind w:firstLine="480" w:firstLineChars="200"/>
        <w:jc w:val="center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招标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组织单位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吉利百矿集团有限公司</w:t>
      </w:r>
    </w:p>
    <w:p>
      <w:pPr>
        <w:spacing w:line="440" w:lineRule="exact"/>
        <w:ind w:firstLine="6240" w:firstLineChars="26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31</w:t>
      </w:r>
      <w:bookmarkStart w:id="0" w:name="_GoBack"/>
      <w:bookmarkEnd w:id="0"/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 xml:space="preserve">日 </w:t>
      </w:r>
    </w:p>
    <w:p>
      <w:pPr>
        <w:pStyle w:val="2"/>
        <w:rPr>
          <w:rFonts w:hint="eastAsia" w:ascii="微软雅黑" w:hAnsi="微软雅黑" w:eastAsia="微软雅黑" w:cs="微软雅黑"/>
          <w:color w:val="auto"/>
          <w:highlight w:val="none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91" w:right="1417" w:bottom="1191" w:left="1417" w:header="851" w:footer="794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ZDZmOTZjNzM3YWY4OGI0MjQzN2M4ZDE1YTlkNDQifQ=="/>
  </w:docVars>
  <w:rsids>
    <w:rsidRoot w:val="00172A27"/>
    <w:rsid w:val="001D7D8F"/>
    <w:rsid w:val="01145609"/>
    <w:rsid w:val="01247580"/>
    <w:rsid w:val="013E61E2"/>
    <w:rsid w:val="014324AF"/>
    <w:rsid w:val="0176292B"/>
    <w:rsid w:val="01D44BAF"/>
    <w:rsid w:val="01F42598"/>
    <w:rsid w:val="022834DB"/>
    <w:rsid w:val="024D2111"/>
    <w:rsid w:val="02557C87"/>
    <w:rsid w:val="02B046A6"/>
    <w:rsid w:val="02B510FA"/>
    <w:rsid w:val="02FB4A5D"/>
    <w:rsid w:val="03261624"/>
    <w:rsid w:val="032A3FCC"/>
    <w:rsid w:val="03391357"/>
    <w:rsid w:val="03CF73B2"/>
    <w:rsid w:val="047B2B1B"/>
    <w:rsid w:val="04B97278"/>
    <w:rsid w:val="05EF3F4F"/>
    <w:rsid w:val="08066011"/>
    <w:rsid w:val="08E6448C"/>
    <w:rsid w:val="092B7632"/>
    <w:rsid w:val="0A4A209B"/>
    <w:rsid w:val="0AC92FC0"/>
    <w:rsid w:val="0AF0679F"/>
    <w:rsid w:val="0B1D3D7C"/>
    <w:rsid w:val="0B3B311A"/>
    <w:rsid w:val="0B9A481D"/>
    <w:rsid w:val="0BC501FF"/>
    <w:rsid w:val="0C4B4F46"/>
    <w:rsid w:val="0CA5394B"/>
    <w:rsid w:val="0D130222"/>
    <w:rsid w:val="0D505C1B"/>
    <w:rsid w:val="0E323572"/>
    <w:rsid w:val="0E531C1A"/>
    <w:rsid w:val="0E767028"/>
    <w:rsid w:val="0EB03E61"/>
    <w:rsid w:val="0EF34AB0"/>
    <w:rsid w:val="0F0B02CD"/>
    <w:rsid w:val="0F3F1AA3"/>
    <w:rsid w:val="10C233A9"/>
    <w:rsid w:val="10EC5B3E"/>
    <w:rsid w:val="11A12C17"/>
    <w:rsid w:val="11DA1F24"/>
    <w:rsid w:val="11E44815"/>
    <w:rsid w:val="12165383"/>
    <w:rsid w:val="12697720"/>
    <w:rsid w:val="13574F3A"/>
    <w:rsid w:val="138E06B8"/>
    <w:rsid w:val="143A44EA"/>
    <w:rsid w:val="146A5792"/>
    <w:rsid w:val="146C382B"/>
    <w:rsid w:val="14EA231D"/>
    <w:rsid w:val="156644E7"/>
    <w:rsid w:val="15866F89"/>
    <w:rsid w:val="15FA0478"/>
    <w:rsid w:val="163E5B1A"/>
    <w:rsid w:val="165A52E4"/>
    <w:rsid w:val="1689600C"/>
    <w:rsid w:val="169336AF"/>
    <w:rsid w:val="17EA448C"/>
    <w:rsid w:val="183B2BE1"/>
    <w:rsid w:val="18B47BD7"/>
    <w:rsid w:val="190A6C98"/>
    <w:rsid w:val="19232435"/>
    <w:rsid w:val="19B317F0"/>
    <w:rsid w:val="19EC0189"/>
    <w:rsid w:val="1AAF3709"/>
    <w:rsid w:val="1B17231A"/>
    <w:rsid w:val="1B7E2F52"/>
    <w:rsid w:val="1BD23F86"/>
    <w:rsid w:val="1CF2587F"/>
    <w:rsid w:val="1DF833A9"/>
    <w:rsid w:val="1E625304"/>
    <w:rsid w:val="1EF94E9C"/>
    <w:rsid w:val="1F5E6095"/>
    <w:rsid w:val="1F6F52D8"/>
    <w:rsid w:val="1F7F16E3"/>
    <w:rsid w:val="205C71BD"/>
    <w:rsid w:val="20716543"/>
    <w:rsid w:val="21DE79D4"/>
    <w:rsid w:val="22095287"/>
    <w:rsid w:val="221C055F"/>
    <w:rsid w:val="2227222A"/>
    <w:rsid w:val="225A73C1"/>
    <w:rsid w:val="22D0336F"/>
    <w:rsid w:val="235B2DA4"/>
    <w:rsid w:val="23D8367D"/>
    <w:rsid w:val="247F5B01"/>
    <w:rsid w:val="24FF1F81"/>
    <w:rsid w:val="25A0388E"/>
    <w:rsid w:val="25B12B77"/>
    <w:rsid w:val="26202C93"/>
    <w:rsid w:val="266A026F"/>
    <w:rsid w:val="2681373E"/>
    <w:rsid w:val="26B24DF9"/>
    <w:rsid w:val="26F50A4F"/>
    <w:rsid w:val="27486A51"/>
    <w:rsid w:val="276A2839"/>
    <w:rsid w:val="28001741"/>
    <w:rsid w:val="281852CD"/>
    <w:rsid w:val="28E676DC"/>
    <w:rsid w:val="290D1F44"/>
    <w:rsid w:val="29F574D6"/>
    <w:rsid w:val="2A487B51"/>
    <w:rsid w:val="2A4E5228"/>
    <w:rsid w:val="2A562521"/>
    <w:rsid w:val="2A664A66"/>
    <w:rsid w:val="2AC31A97"/>
    <w:rsid w:val="2ADA1F54"/>
    <w:rsid w:val="2AFA6CE1"/>
    <w:rsid w:val="2B536132"/>
    <w:rsid w:val="2BAE1354"/>
    <w:rsid w:val="2BC17E70"/>
    <w:rsid w:val="2C8326E4"/>
    <w:rsid w:val="2C9973F8"/>
    <w:rsid w:val="2D084276"/>
    <w:rsid w:val="2D086A5A"/>
    <w:rsid w:val="2D6E2B18"/>
    <w:rsid w:val="2D8F379E"/>
    <w:rsid w:val="2E44718D"/>
    <w:rsid w:val="2E8250B1"/>
    <w:rsid w:val="2E8804CB"/>
    <w:rsid w:val="2EB661A5"/>
    <w:rsid w:val="2F231F74"/>
    <w:rsid w:val="2FAB42FB"/>
    <w:rsid w:val="309B7A48"/>
    <w:rsid w:val="30A0299D"/>
    <w:rsid w:val="30F6566A"/>
    <w:rsid w:val="31A82723"/>
    <w:rsid w:val="3208539B"/>
    <w:rsid w:val="32565658"/>
    <w:rsid w:val="32786EF6"/>
    <w:rsid w:val="32D3412D"/>
    <w:rsid w:val="32E21E22"/>
    <w:rsid w:val="332D7CE1"/>
    <w:rsid w:val="33484942"/>
    <w:rsid w:val="33C5441B"/>
    <w:rsid w:val="33F226CE"/>
    <w:rsid w:val="342611B0"/>
    <w:rsid w:val="34423E8F"/>
    <w:rsid w:val="353C13C9"/>
    <w:rsid w:val="35872826"/>
    <w:rsid w:val="36FA581D"/>
    <w:rsid w:val="371C75AC"/>
    <w:rsid w:val="372D5FD0"/>
    <w:rsid w:val="3785109A"/>
    <w:rsid w:val="383E03FD"/>
    <w:rsid w:val="384A3BEB"/>
    <w:rsid w:val="38CA4BC0"/>
    <w:rsid w:val="38E06631"/>
    <w:rsid w:val="3A20148E"/>
    <w:rsid w:val="3A335C4A"/>
    <w:rsid w:val="3A4E5CD0"/>
    <w:rsid w:val="3A932306"/>
    <w:rsid w:val="3AAD5BAB"/>
    <w:rsid w:val="3AFD1498"/>
    <w:rsid w:val="3B1A2AF4"/>
    <w:rsid w:val="3B633ACA"/>
    <w:rsid w:val="3B950B19"/>
    <w:rsid w:val="3B9D5C20"/>
    <w:rsid w:val="3BC5272B"/>
    <w:rsid w:val="3BF23CE7"/>
    <w:rsid w:val="3BF76C89"/>
    <w:rsid w:val="3C844C04"/>
    <w:rsid w:val="3CB704EE"/>
    <w:rsid w:val="3CF7166D"/>
    <w:rsid w:val="3D4249FF"/>
    <w:rsid w:val="3D527AF5"/>
    <w:rsid w:val="3E304603"/>
    <w:rsid w:val="3EDC54B6"/>
    <w:rsid w:val="3F4A6A3A"/>
    <w:rsid w:val="3FC52CD3"/>
    <w:rsid w:val="3FCC2FD1"/>
    <w:rsid w:val="40067C07"/>
    <w:rsid w:val="40285C30"/>
    <w:rsid w:val="40D65F83"/>
    <w:rsid w:val="41764A2B"/>
    <w:rsid w:val="43B31BBC"/>
    <w:rsid w:val="44494453"/>
    <w:rsid w:val="44FE459A"/>
    <w:rsid w:val="455A29E7"/>
    <w:rsid w:val="46004114"/>
    <w:rsid w:val="469D2CCA"/>
    <w:rsid w:val="47285F3F"/>
    <w:rsid w:val="48102E25"/>
    <w:rsid w:val="48376942"/>
    <w:rsid w:val="48DB4BFB"/>
    <w:rsid w:val="49951984"/>
    <w:rsid w:val="499B232F"/>
    <w:rsid w:val="49AB37D4"/>
    <w:rsid w:val="4A0B10CE"/>
    <w:rsid w:val="4A7531D6"/>
    <w:rsid w:val="4A95185A"/>
    <w:rsid w:val="4B165404"/>
    <w:rsid w:val="4B3F6DC9"/>
    <w:rsid w:val="4B4614E8"/>
    <w:rsid w:val="4BA23901"/>
    <w:rsid w:val="4BAF63BF"/>
    <w:rsid w:val="4BB226CF"/>
    <w:rsid w:val="4CAF749A"/>
    <w:rsid w:val="4CDF6259"/>
    <w:rsid w:val="4D027C0A"/>
    <w:rsid w:val="4D29462F"/>
    <w:rsid w:val="4D4203D5"/>
    <w:rsid w:val="4D816991"/>
    <w:rsid w:val="4EB9097C"/>
    <w:rsid w:val="4EEE15F1"/>
    <w:rsid w:val="4F10272E"/>
    <w:rsid w:val="4F505DEA"/>
    <w:rsid w:val="4F732300"/>
    <w:rsid w:val="4F7468BD"/>
    <w:rsid w:val="4FAC4FDD"/>
    <w:rsid w:val="4FDA433C"/>
    <w:rsid w:val="4FEB1C3C"/>
    <w:rsid w:val="4FF30377"/>
    <w:rsid w:val="4FF9657D"/>
    <w:rsid w:val="506F3094"/>
    <w:rsid w:val="50E1774A"/>
    <w:rsid w:val="50EB4750"/>
    <w:rsid w:val="5120099F"/>
    <w:rsid w:val="51DF2696"/>
    <w:rsid w:val="5272689E"/>
    <w:rsid w:val="52B4767F"/>
    <w:rsid w:val="53602C91"/>
    <w:rsid w:val="5382021E"/>
    <w:rsid w:val="539A0248"/>
    <w:rsid w:val="53A019B1"/>
    <w:rsid w:val="53C0025C"/>
    <w:rsid w:val="541067D7"/>
    <w:rsid w:val="54BF71FA"/>
    <w:rsid w:val="550448B0"/>
    <w:rsid w:val="55496A0F"/>
    <w:rsid w:val="55F41EB4"/>
    <w:rsid w:val="57B342CB"/>
    <w:rsid w:val="57ED1672"/>
    <w:rsid w:val="58FB441B"/>
    <w:rsid w:val="595461AF"/>
    <w:rsid w:val="59631FEE"/>
    <w:rsid w:val="596439B2"/>
    <w:rsid w:val="59741B12"/>
    <w:rsid w:val="5A63421E"/>
    <w:rsid w:val="5ACA62B5"/>
    <w:rsid w:val="5AD45511"/>
    <w:rsid w:val="5ADA477B"/>
    <w:rsid w:val="5AF04D43"/>
    <w:rsid w:val="5B962018"/>
    <w:rsid w:val="5BB12BF2"/>
    <w:rsid w:val="5C006A47"/>
    <w:rsid w:val="5C8A4190"/>
    <w:rsid w:val="5CA12E4D"/>
    <w:rsid w:val="5CB87248"/>
    <w:rsid w:val="5CBE4833"/>
    <w:rsid w:val="5D184CAE"/>
    <w:rsid w:val="5D963C63"/>
    <w:rsid w:val="5DA16999"/>
    <w:rsid w:val="5DD42FC3"/>
    <w:rsid w:val="5E09758C"/>
    <w:rsid w:val="5E0D0C8A"/>
    <w:rsid w:val="5E8B77B9"/>
    <w:rsid w:val="5EC24503"/>
    <w:rsid w:val="5ED163CC"/>
    <w:rsid w:val="5EF15762"/>
    <w:rsid w:val="5FA20179"/>
    <w:rsid w:val="60310390"/>
    <w:rsid w:val="60681DE6"/>
    <w:rsid w:val="60AE3C5C"/>
    <w:rsid w:val="6145194B"/>
    <w:rsid w:val="61A134C4"/>
    <w:rsid w:val="62820DDE"/>
    <w:rsid w:val="628E67D5"/>
    <w:rsid w:val="6331362E"/>
    <w:rsid w:val="635A5109"/>
    <w:rsid w:val="636A54E7"/>
    <w:rsid w:val="63E405F4"/>
    <w:rsid w:val="649410BE"/>
    <w:rsid w:val="64E64BB9"/>
    <w:rsid w:val="65227206"/>
    <w:rsid w:val="65CC5CFA"/>
    <w:rsid w:val="676C0174"/>
    <w:rsid w:val="67A12167"/>
    <w:rsid w:val="68336E40"/>
    <w:rsid w:val="683E1A6D"/>
    <w:rsid w:val="683F7593"/>
    <w:rsid w:val="689E608D"/>
    <w:rsid w:val="69366FB6"/>
    <w:rsid w:val="69392234"/>
    <w:rsid w:val="69C24315"/>
    <w:rsid w:val="6A357B03"/>
    <w:rsid w:val="6A5512F0"/>
    <w:rsid w:val="6AA21219"/>
    <w:rsid w:val="6AE02E8A"/>
    <w:rsid w:val="6C3765BC"/>
    <w:rsid w:val="6C58731C"/>
    <w:rsid w:val="6C8F2B8E"/>
    <w:rsid w:val="6D070820"/>
    <w:rsid w:val="6D1977F6"/>
    <w:rsid w:val="6D3D10EF"/>
    <w:rsid w:val="6E3511E3"/>
    <w:rsid w:val="6E6D305C"/>
    <w:rsid w:val="6E930B96"/>
    <w:rsid w:val="6F196786"/>
    <w:rsid w:val="6F743FC6"/>
    <w:rsid w:val="6F7C517B"/>
    <w:rsid w:val="6FC52A74"/>
    <w:rsid w:val="6FD26F3F"/>
    <w:rsid w:val="700B3457"/>
    <w:rsid w:val="70D867D7"/>
    <w:rsid w:val="70DA60AB"/>
    <w:rsid w:val="70F74E78"/>
    <w:rsid w:val="70FA6B7B"/>
    <w:rsid w:val="71233EF6"/>
    <w:rsid w:val="71B022EE"/>
    <w:rsid w:val="72184E0E"/>
    <w:rsid w:val="72184E79"/>
    <w:rsid w:val="727E1D6D"/>
    <w:rsid w:val="72D509D3"/>
    <w:rsid w:val="72DC7494"/>
    <w:rsid w:val="735F6D3B"/>
    <w:rsid w:val="740578E3"/>
    <w:rsid w:val="742529DB"/>
    <w:rsid w:val="758701B2"/>
    <w:rsid w:val="75D44595"/>
    <w:rsid w:val="75E20A21"/>
    <w:rsid w:val="75EC2C69"/>
    <w:rsid w:val="75FE7590"/>
    <w:rsid w:val="764A00F3"/>
    <w:rsid w:val="76515A45"/>
    <w:rsid w:val="76D07E61"/>
    <w:rsid w:val="76D24A47"/>
    <w:rsid w:val="76E13C50"/>
    <w:rsid w:val="76E83563"/>
    <w:rsid w:val="76EA3FD8"/>
    <w:rsid w:val="76F94EB0"/>
    <w:rsid w:val="77543075"/>
    <w:rsid w:val="77581B01"/>
    <w:rsid w:val="776C230B"/>
    <w:rsid w:val="77DF332B"/>
    <w:rsid w:val="78F72FA8"/>
    <w:rsid w:val="79037204"/>
    <w:rsid w:val="790A612F"/>
    <w:rsid w:val="79155127"/>
    <w:rsid w:val="79E35D34"/>
    <w:rsid w:val="7A0C592D"/>
    <w:rsid w:val="7A486F85"/>
    <w:rsid w:val="7A5E5F9F"/>
    <w:rsid w:val="7AD44FC7"/>
    <w:rsid w:val="7B0C0F79"/>
    <w:rsid w:val="7B332D7F"/>
    <w:rsid w:val="7C51354F"/>
    <w:rsid w:val="7D390712"/>
    <w:rsid w:val="7D4D43F3"/>
    <w:rsid w:val="7DB91A4C"/>
    <w:rsid w:val="7DD86068"/>
    <w:rsid w:val="7E16443C"/>
    <w:rsid w:val="7E62703F"/>
    <w:rsid w:val="7E672980"/>
    <w:rsid w:val="7EFA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5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qFormat/>
    <w:uiPriority w:val="0"/>
    <w:rPr>
      <w:color w:val="444444"/>
      <w:u w:val="none"/>
    </w:rPr>
  </w:style>
  <w:style w:type="character" w:styleId="14">
    <w:name w:val="Emphasis"/>
    <w:basedOn w:val="11"/>
    <w:qFormat/>
    <w:uiPriority w:val="0"/>
    <w:rPr>
      <w:rFonts w:hint="eastAsia" w:ascii="微软雅黑" w:hAnsi="微软雅黑" w:eastAsia="微软雅黑" w:cs="微软雅黑"/>
    </w:rPr>
  </w:style>
  <w:style w:type="character" w:styleId="15">
    <w:name w:val="Hyperlink"/>
    <w:basedOn w:val="11"/>
    <w:qFormat/>
    <w:uiPriority w:val="0"/>
    <w:rPr>
      <w:color w:val="444444"/>
      <w:u w:val="none"/>
    </w:rPr>
  </w:style>
  <w:style w:type="character" w:customStyle="1" w:styleId="16">
    <w:name w:val="enter"/>
    <w:basedOn w:val="11"/>
    <w:qFormat/>
    <w:uiPriority w:val="0"/>
  </w:style>
  <w:style w:type="character" w:customStyle="1" w:styleId="17">
    <w:name w:val="realname"/>
    <w:basedOn w:val="11"/>
    <w:qFormat/>
    <w:uiPriority w:val="0"/>
  </w:style>
  <w:style w:type="character" w:customStyle="1" w:styleId="18">
    <w:name w:val="realname1"/>
    <w:basedOn w:val="11"/>
    <w:qFormat/>
    <w:uiPriority w:val="0"/>
  </w:style>
  <w:style w:type="character" w:customStyle="1" w:styleId="19">
    <w:name w:val="bwvip"/>
    <w:basedOn w:val="11"/>
    <w:qFormat/>
    <w:uiPriority w:val="0"/>
  </w:style>
  <w:style w:type="character" w:customStyle="1" w:styleId="20">
    <w:name w:val="vip"/>
    <w:basedOn w:val="11"/>
    <w:qFormat/>
    <w:uiPriority w:val="0"/>
  </w:style>
  <w:style w:type="character" w:customStyle="1" w:styleId="21">
    <w:name w:val="book"/>
    <w:basedOn w:val="11"/>
    <w:qFormat/>
    <w:uiPriority w:val="0"/>
  </w:style>
  <w:style w:type="character" w:customStyle="1" w:styleId="22">
    <w:name w:val="enter1"/>
    <w:basedOn w:val="11"/>
    <w:qFormat/>
    <w:uiPriority w:val="0"/>
  </w:style>
  <w:style w:type="paragraph" w:customStyle="1" w:styleId="23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4">
    <w:name w:val="font31"/>
    <w:basedOn w:val="11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5">
    <w:name w:val="font6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8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9">
    <w:name w:val="font21"/>
    <w:basedOn w:val="11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e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1512</Words>
  <Characters>1751</Characters>
  <Lines>0</Lines>
  <Paragraphs>0</Paragraphs>
  <TotalTime>1</TotalTime>
  <ScaleCrop>false</ScaleCrop>
  <LinksUpToDate>false</LinksUpToDate>
  <CharactersWithSpaces>1825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潘兆云</cp:lastModifiedBy>
  <cp:lastPrinted>2023-05-30T23:53:00Z</cp:lastPrinted>
  <dcterms:modified xsi:type="dcterms:W3CDTF">2023-05-31T05:21:45Z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8F174C172F3D4E179351CED9E42D6DA7</vt:lpwstr>
  </property>
</Properties>
</file>