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sz w:val="44"/>
          <w:szCs w:val="4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44"/>
          <w:szCs w:val="44"/>
          <w:u w:val="none"/>
          <w:lang w:eastAsia="zh-CN"/>
        </w:rPr>
        <w:t>电解铝业务部2023年厂内工艺车辆采购项目</w:t>
      </w:r>
      <w:r>
        <w:rPr>
          <w:rFonts w:hint="eastAsia" w:ascii="微软雅黑" w:hAnsi="微软雅黑" w:eastAsia="微软雅黑" w:cs="微软雅黑"/>
          <w:b/>
          <w:sz w:val="44"/>
          <w:szCs w:val="44"/>
          <w:u w:val="none"/>
          <w:lang w:val="en-US" w:eastAsia="zh-CN"/>
        </w:rPr>
        <w:t xml:space="preserve"> 补充公告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采购类别：设备类（注：新用户时请选择此类别，否则无法报名）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1.项目名称：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eastAsia="zh-CN"/>
        </w:rPr>
        <w:t>电解铝业务部2023年厂内工艺车辆采购项目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</w:rPr>
        <w:t xml:space="preserve"> 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2.项目概况与招标范围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2.1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项目概</w:t>
      </w:r>
      <w:r>
        <w:rPr>
          <w:rFonts w:hint="eastAsia" w:ascii="微软雅黑" w:hAnsi="微软雅黑" w:eastAsia="微软雅黑" w:cs="微软雅黑"/>
          <w:sz w:val="24"/>
          <w:szCs w:val="24"/>
        </w:rPr>
        <w:t>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lang w:eastAsia="zh-CN"/>
        </w:rPr>
        <w:t>吉利百矿集团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电解铝</w:t>
      </w:r>
      <w:r>
        <w:rPr>
          <w:rFonts w:hint="eastAsia" w:ascii="微软雅黑" w:hAnsi="微软雅黑" w:eastAsia="微软雅黑" w:cs="微软雅黑"/>
          <w:sz w:val="24"/>
          <w:lang w:eastAsia="zh-CN"/>
        </w:rPr>
        <w:t>业务部下辖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广西百矿铝业有限公司（简称“田阳铝厂”），广西田林百矿铝业有限公司（简称“田林铝厂”），其中，田阳铝厂位于百色市田阳区头塘镇百色新山铝产业示范园内，田林铝厂位于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广西百色市田林</w:t>
      </w:r>
      <w:bookmarkStart w:id="0" w:name="_GoBack"/>
      <w:bookmarkEnd w:id="0"/>
      <w:r>
        <w:rPr>
          <w:rFonts w:hint="eastAsia" w:ascii="微软雅黑" w:hAnsi="微软雅黑" w:eastAsia="微软雅黑" w:cs="微软雅黑"/>
          <w:bCs/>
          <w:sz w:val="24"/>
          <w:szCs w:val="24"/>
        </w:rPr>
        <w:t>县旧州镇铝工业区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为了满足田阳铝厂和田林铝厂稳定的生产运行需要，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现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eastAsia="zh-CN"/>
        </w:rPr>
        <w:t>就电解铝业务部2023年厂内工艺车辆采购项目进行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2.2</w:t>
      </w:r>
      <w:r>
        <w:rPr>
          <w:rFonts w:hint="eastAsia" w:ascii="微软雅黑" w:hAnsi="微软雅黑" w:eastAsia="微软雅黑" w:cs="微软雅黑"/>
          <w:sz w:val="24"/>
          <w:szCs w:val="24"/>
        </w:rPr>
        <w:t>招标范围：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1台新能源版阳极拖车</w:t>
      </w:r>
    </w:p>
    <w:p>
      <w:pPr>
        <w:spacing w:line="44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标段划分</w:t>
      </w:r>
      <w:r>
        <w:rPr>
          <w:rFonts w:hint="eastAsia" w:ascii="微软雅黑" w:hAnsi="微软雅黑" w:eastAsia="微软雅黑" w:cs="微软雅黑"/>
          <w:sz w:val="24"/>
          <w:szCs w:val="24"/>
        </w:rPr>
        <w:t>：</w:t>
      </w:r>
    </w:p>
    <w:tbl>
      <w:tblPr>
        <w:tblStyle w:val="10"/>
        <w:tblW w:w="10845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65"/>
        <w:gridCol w:w="2265"/>
        <w:gridCol w:w="1905"/>
        <w:gridCol w:w="750"/>
        <w:gridCol w:w="48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标段</w:t>
            </w: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标段名称</w:t>
            </w:r>
          </w:p>
        </w:tc>
        <w:tc>
          <w:tcPr>
            <w:tcW w:w="226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采购类别</w:t>
            </w:r>
          </w:p>
        </w:tc>
        <w:tc>
          <w:tcPr>
            <w:tcW w:w="190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53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品牌要求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标段三</w:t>
            </w:r>
          </w:p>
        </w:tc>
        <w:tc>
          <w:tcPr>
            <w:tcW w:w="1965" w:type="dxa"/>
            <w:vAlign w:val="center"/>
          </w:tcPr>
          <w:p>
            <w:pPr>
              <w:spacing w:line="440" w:lineRule="exact"/>
              <w:jc w:val="left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3T叉车采购项目</w:t>
            </w:r>
          </w:p>
        </w:tc>
        <w:tc>
          <w:tcPr>
            <w:tcW w:w="226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叉车</w:t>
            </w:r>
          </w:p>
        </w:tc>
        <w:tc>
          <w:tcPr>
            <w:tcW w:w="190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CPCD30</w:t>
            </w:r>
          </w:p>
        </w:tc>
        <w:tc>
          <w:tcPr>
            <w:tcW w:w="75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48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3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杭州/合力/龙工/柳工</w:t>
            </w:r>
          </w:p>
        </w:tc>
      </w:tr>
    </w:tbl>
    <w:p>
      <w:pPr>
        <w:spacing w:line="440" w:lineRule="exac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3.投标人资格要求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本次招标要求投标人具备以下资质。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.1 在中国境内注册，有独立法人资格和承担民事责任的能力。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.2 遵守中华人民共和国有关法律、法规和条例。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.3 具有自行生产制造或销售资质；具有竞标规格及以上相应或相似条件下，阳极拖车近5年在国内外不少于2个类似业绩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其他车辆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近3年在国内不少于2个类似业绩。（业绩须附列表及对应列表的合同原件扫描件。合同原件扫描件含首尾页、能反应合同主体内容、签字盖章页，否则按无效业绩处理）。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.4 近年来有较好业绩且无不良商业行为。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.5 具有良好的商业信誉和健全的财务会计制度。</w:t>
      </w:r>
    </w:p>
    <w:p>
      <w:pPr>
        <w:pStyle w:val="8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.6 本次招标不接受联合体投标。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4.投标报名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4.1报名方式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4.1.1 *凡有意参加报名的投标人，请至吉利控股集团招标采购平台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glzb.geely.com</w:t>
      </w:r>
      <w:r>
        <w:rPr>
          <w:rStyle w:val="12"/>
          <w:rFonts w:hint="eastAsia" w:ascii="微软雅黑" w:hAnsi="微软雅黑" w:eastAsia="微软雅黑" w:cs="微软雅黑"/>
          <w:color w:val="454D54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注册报名，可在平台网站首页点击“下载供应商服务手册”查看《吉利电子采购招标平台操作手册（供应商端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》,投标人根据手册要求进行注册，认证完成后为注册成功后。供应商根据公告项目名称，按照报名要求上传资料。未按照此方式报名的，视作无效报名。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08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4.2报名资料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报名资料于报名截止时间前上传至吉利控股集团招标采购平台，报名资料包含但不限于以下内容：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a、三证合一的营业执照副本；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b、类似项目业绩证明及证明材料（提供合同扫描件，涉及机密部分可隐去）；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企业概况及履约能力说明；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d</w:t>
      </w:r>
      <w:r>
        <w:rPr>
          <w:rFonts w:hint="eastAsia" w:ascii="微软雅黑" w:hAnsi="微软雅黑" w:eastAsia="微软雅黑" w:cs="微软雅黑"/>
          <w:sz w:val="24"/>
          <w:szCs w:val="24"/>
        </w:rPr>
        <w:t>、经第三方审计的近两年财务报表资料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4"/>
          <w:szCs w:val="24"/>
          <w:lang w:val="en-US" w:eastAsia="zh-CN"/>
        </w:rPr>
        <w:t>4.3提交材料要求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a、合同请扫描成一份PDF文件，严禁将合同分成一张张图片上传；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b、请提供合同原件扫描件、合同扫描件需体现合作对象、合作时间、服务内容等信息（价格部分可隐藏）；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c、合同扫描件请命名：与XXXX公司合作合同（合同内容：XXX），如：与广西百矿铝业有限公司合作合同（合同内容：xxx供货）；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备注：请供应商务必按照要求提交业绩材料，如因供应商提交的材料不符合要求而造成供应商被淘汰，招标方不承担任何责任。以上资料扫描命名打包，报名资料需在报名截止时间前上传，逾期报名无效。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5.招标文件的获取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5.1报名截止后，对所有报名单位进行资格初审，初审合格后购买招标文件；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元，售后不退；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6.发布公告的媒介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本次招标公告只在吉利控股集团招标采购平台glzb.geely.com上发布，其他媒体转载无效。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7.联系方式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eastAsia="zh-CN"/>
        </w:rPr>
        <w:t>广西百矿铝业有限公司</w:t>
      </w:r>
      <w:r>
        <w:rPr>
          <w:rFonts w:hint="eastAsia" w:ascii="微软雅黑" w:hAnsi="微软雅黑" w:eastAsia="微软雅黑" w:cs="微软雅黑"/>
          <w:bCs/>
          <w:color w:val="FF0000"/>
          <w:sz w:val="24"/>
          <w:szCs w:val="24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eastAsia="zh-CN"/>
        </w:rPr>
        <w:t>组织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人地址：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广西百色市田阳区新山铝示范园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val="en-US" w:eastAsia="zh-CN"/>
        </w:rPr>
        <w:t>经一路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default" w:ascii="微软雅黑" w:hAnsi="微软雅黑" w:eastAsia="微软雅黑" w:cs="微软雅黑"/>
          <w:bCs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开标地址：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</w:rPr>
        <w:t>广西百色市右江区东增路188号吉利百矿集团有限公司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val="en-US" w:eastAsia="zh-CN"/>
        </w:rPr>
        <w:t>开标室二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邮编：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val="en-US" w:eastAsia="zh-CN"/>
        </w:rPr>
        <w:t>533000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手机号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13978027196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E-mail : Mao.Luo@geely.com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</w:rPr>
        <w:t>技术：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  <w:lang w:val="en-US" w:eastAsia="zh-CN"/>
        </w:rPr>
        <w:t>梁淞尹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</w:rPr>
        <w:t> 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</w:rPr>
        <w:t>手机号13407779927 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u w:val="none"/>
        </w:rPr>
        <w:t>E-mail : 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Songyin.Liang@geely.com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开户名称：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广西百矿铝业有限公司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开户银行：中国建设银行股份有限公司百色分行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帐    号：45001676101050707075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投诉、举报电话：0571-28098168（供应链管理部）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举报邮箱：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geelytech.bid@geely.com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。</w:t>
      </w:r>
    </w:p>
    <w:p>
      <w:pPr>
        <w:spacing w:line="440" w:lineRule="exact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line="440" w:lineRule="exac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left="6550" w:leftChars="1445" w:hanging="3516" w:hangingChars="1465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        </w:t>
      </w:r>
    </w:p>
    <w:p>
      <w:pPr>
        <w:widowControl/>
        <w:spacing w:line="440" w:lineRule="exact"/>
        <w:ind w:left="6550" w:leftChars="1445" w:hanging="3516" w:hangingChars="1465"/>
        <w:jc w:val="center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</w:rPr>
        <w:t>广西百矿铝业有限公司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440" w:lineRule="exact"/>
        <w:ind w:left="6550" w:leftChars="1445" w:right="480" w:hanging="3516" w:hangingChars="1465"/>
        <w:jc w:val="center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</w:rPr>
        <w:t>20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u w:val="single"/>
          <w:lang w:val="en-US" w:eastAsia="zh-CN"/>
        </w:rPr>
        <w:t>05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日 </w:t>
      </w: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361" w:bottom="1134" w:left="1361" w:header="567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drawing>
        <wp:inline distT="0" distB="0" distL="114300" distR="114300">
          <wp:extent cx="1309370" cy="313055"/>
          <wp:effectExtent l="0" t="0" r="5080" b="11430"/>
          <wp:docPr id="4" name="图片 4" descr="吉利科技集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吉利科技集团logo"/>
                  <pic:cNvPicPr>
                    <a:picLocks noChangeAspect="1"/>
                  </pic:cNvPicPr>
                </pic:nvPicPr>
                <pic:blipFill>
                  <a:blip r:embed="rId1"/>
                  <a:srcRect l="10886" t="33305" r="10717" b="33390"/>
                  <a:stretch>
                    <a:fillRect/>
                  </a:stretch>
                </pic:blipFill>
                <pic:spPr>
                  <a:xfrm>
                    <a:off x="0" y="0"/>
                    <a:ext cx="1309370" cy="313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xNDc0NDE5NjE1YWFmMWRjOGFhNzA2OTYzNzZmNTA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4E2A89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047"/>
    <w:rsid w:val="00BB717C"/>
    <w:rsid w:val="00C144B5"/>
    <w:rsid w:val="00C24EE7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17C7E"/>
    <w:rsid w:val="00E20D3B"/>
    <w:rsid w:val="00E265CB"/>
    <w:rsid w:val="00E36C66"/>
    <w:rsid w:val="00E85FBB"/>
    <w:rsid w:val="00E97291"/>
    <w:rsid w:val="00EA6CA2"/>
    <w:rsid w:val="00EE522C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C1F7A2E"/>
    <w:rsid w:val="1BD22569"/>
    <w:rsid w:val="1C277E43"/>
    <w:rsid w:val="202F5269"/>
    <w:rsid w:val="24516601"/>
    <w:rsid w:val="25B071D5"/>
    <w:rsid w:val="27A913A4"/>
    <w:rsid w:val="282D04D9"/>
    <w:rsid w:val="2954440E"/>
    <w:rsid w:val="2AC05A04"/>
    <w:rsid w:val="2B6773B5"/>
    <w:rsid w:val="2BFB2BD5"/>
    <w:rsid w:val="2E5E7188"/>
    <w:rsid w:val="33D36FFF"/>
    <w:rsid w:val="399860E8"/>
    <w:rsid w:val="3C167F42"/>
    <w:rsid w:val="3EB80EE1"/>
    <w:rsid w:val="40E61871"/>
    <w:rsid w:val="45D44CEE"/>
    <w:rsid w:val="47687E04"/>
    <w:rsid w:val="4E220CA0"/>
    <w:rsid w:val="509D5F36"/>
    <w:rsid w:val="5588359A"/>
    <w:rsid w:val="566B67D7"/>
    <w:rsid w:val="5AFB2818"/>
    <w:rsid w:val="5F4D40B4"/>
    <w:rsid w:val="60C6552B"/>
    <w:rsid w:val="63D02C96"/>
    <w:rsid w:val="642B4C56"/>
    <w:rsid w:val="66AE0671"/>
    <w:rsid w:val="67E56D04"/>
    <w:rsid w:val="693B1C4C"/>
    <w:rsid w:val="6F0437AF"/>
    <w:rsid w:val="731054D6"/>
    <w:rsid w:val="76986BBD"/>
    <w:rsid w:val="796A2C63"/>
    <w:rsid w:val="7C0C3A91"/>
    <w:rsid w:val="7D5B0CDE"/>
    <w:rsid w:val="7E34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semiHidden/>
    <w:unhideWhenUsed/>
    <w:qFormat/>
    <w:uiPriority w:val="99"/>
    <w:rPr>
      <w:color w:val="0000FF"/>
      <w:u w:val="non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9">
    <w:name w:val="日期 Char"/>
    <w:basedOn w:val="11"/>
    <w:link w:val="4"/>
    <w:semiHidden/>
    <w:qFormat/>
    <w:uiPriority w:val="99"/>
  </w:style>
  <w:style w:type="character" w:customStyle="1" w:styleId="20">
    <w:name w:val="批注文字 Char"/>
    <w:basedOn w:val="11"/>
    <w:link w:val="3"/>
    <w:semiHidden/>
    <w:qFormat/>
    <w:uiPriority w:val="99"/>
  </w:style>
  <w:style w:type="character" w:customStyle="1" w:styleId="21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1465</Words>
  <Characters>1692</Characters>
  <Lines>13</Lines>
  <Paragraphs>3</Paragraphs>
  <TotalTime>1</TotalTime>
  <ScaleCrop>false</ScaleCrop>
  <LinksUpToDate>false</LinksUpToDate>
  <CharactersWithSpaces>1761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四夕羅</cp:lastModifiedBy>
  <dcterms:modified xsi:type="dcterms:W3CDTF">2023-06-05T02:51:09Z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85864322AE1C4FD2A1405BBDF79114E3</vt:lpwstr>
  </property>
</Properties>
</file>