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600" w:firstLineChars="200"/>
        <w:jc w:val="center"/>
        <w:rPr>
          <w:rFonts w:hint="eastAsia" w:ascii="微软雅黑" w:hAnsi="微软雅黑" w:eastAsia="微软雅黑" w:cs="微软雅黑"/>
          <w:b/>
          <w:sz w:val="30"/>
          <w:szCs w:val="30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sz w:val="30"/>
          <w:szCs w:val="30"/>
          <w:lang w:eastAsia="zh-CN"/>
        </w:rPr>
        <w:t>矿机公司水沟改造及规划车位线项目报价函</w:t>
      </w:r>
    </w:p>
    <w:bookmarkEnd w:id="0"/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致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u w:val="single"/>
          <w:lang w:eastAsia="zh-CN"/>
        </w:rPr>
        <w:t xml:space="preserve"> 广西百色矿山机械厂有限公司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我公司接受贵公司的邀请参加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矿机公司水沟改造及规划车位线项目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的报价，完全响应贵公司的邀请函和合同格式的内容，并已在报价前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矿机公司水沟改造及规划车位线项目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相关情况：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1、</w:t>
      </w:r>
      <w:r>
        <w:rPr>
          <w:rFonts w:hint="eastAsia" w:asciiTheme="minorEastAsia" w:hAnsiTheme="minorEastAsia" w:eastAsiaTheme="minorEastAsia" w:cstheme="minorEastAsia"/>
          <w:sz w:val="24"/>
        </w:rPr>
        <w:t>报价明细</w:t>
      </w:r>
    </w:p>
    <w:tbl>
      <w:tblPr>
        <w:tblStyle w:val="6"/>
        <w:tblW w:w="103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705"/>
        <w:gridCol w:w="1359"/>
        <w:gridCol w:w="756"/>
        <w:gridCol w:w="684"/>
        <w:gridCol w:w="690"/>
        <w:gridCol w:w="1155"/>
        <w:gridCol w:w="37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027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-2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  <w:szCs w:val="24"/>
                <w:lang w:eastAsia="zh-CN"/>
              </w:rPr>
              <w:t>项目内容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4"/>
                <w:szCs w:val="24"/>
                <w:lang w:eastAsia="zh-CN"/>
              </w:rPr>
              <w:t>项号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子项目内容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单位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数量①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单价(元)②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单项合价（元）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③=①×②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98" w:hRule="atLeast"/>
          <w:jc w:val="center"/>
        </w:trPr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矿机公司水沟改造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及规划车位线项目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砌水沟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45个基础，每个基础位置按平均长度4500mm，宽度350mm、平均深度400mm计算工程量，包含基础转弯部分、原有路灯基础部分及因挖基础破坏或堵塞部分，整条水沟两头浅中间深。内容包含挖沟、砌砖（包工包料）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63" w:hRule="atLeast"/>
          <w:jc w:val="center"/>
        </w:trPr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水沟盖板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按45个基础，每个基础7块配备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44" w:hRule="atLeast"/>
          <w:jc w:val="center"/>
        </w:trPr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绿化砖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44" w:hRule="atLeast"/>
          <w:jc w:val="center"/>
        </w:trPr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盖板铺设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09" w:hRule="atLeast"/>
          <w:jc w:val="center"/>
        </w:trPr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泥土清运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立方米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sz w:val="24"/>
                <w:szCs w:val="24"/>
                <w:lang w:val="en-US" w:eastAsia="zh-CN" w:bidi="ar"/>
              </w:rPr>
              <w:t>按实方土260m</w:t>
            </w:r>
            <w:r>
              <w:rPr>
                <w:rStyle w:val="9"/>
                <w:rFonts w:hint="eastAsia" w:ascii="微软雅黑" w:hAnsi="微软雅黑" w:eastAsia="微软雅黑" w:cs="微软雅黑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10"/>
                <w:rFonts w:hint="eastAsia" w:ascii="微软雅黑" w:hAnsi="微软雅黑" w:eastAsia="微软雅黑" w:cs="微软雅黑"/>
                <w:sz w:val="24"/>
                <w:szCs w:val="24"/>
                <w:lang w:val="en-US" w:eastAsia="zh-CN" w:bidi="ar"/>
              </w:rPr>
              <w:t xml:space="preserve">X1.3计算松土量，包含原基础地坑剩余泥土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09" w:hRule="atLeast"/>
          <w:jc w:val="center"/>
        </w:trPr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铺绿化砖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sz w:val="24"/>
                <w:szCs w:val="24"/>
                <w:lang w:val="en-US" w:eastAsia="zh-CN" w:bidi="ar"/>
              </w:rPr>
              <w:t>按车棚基础数量113个计算，平均约6m</w:t>
            </w:r>
            <w:r>
              <w:rPr>
                <w:rStyle w:val="9"/>
                <w:rFonts w:hint="eastAsia" w:ascii="微软雅黑" w:hAnsi="微软雅黑" w:eastAsia="微软雅黑" w:cs="微软雅黑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0"/>
                <w:rFonts w:hint="eastAsia" w:ascii="微软雅黑" w:hAnsi="微软雅黑" w:eastAsia="微软雅黑" w:cs="微软雅黑"/>
                <w:sz w:val="24"/>
                <w:szCs w:val="24"/>
                <w:lang w:val="en-US" w:eastAsia="zh-CN" w:bidi="ar"/>
              </w:rPr>
              <w:t xml:space="preserve">/个包含基础面修整压实、绿化砖垫层、绿化草皮等材料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09" w:hRule="atLeast"/>
          <w:jc w:val="center"/>
        </w:trPr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重新规划车位线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按新车位数布置重新调整车位黄线包含绿化砖垫层、绿化草皮等材料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03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>总报价（人民币大写）：                                 （￥             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03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highlight w:val="none"/>
                <w:lang w:eastAsia="zh-CN"/>
              </w:rPr>
              <w:t>计划工期：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highlight w:val="none"/>
                <w:lang w:val="en-US" w:eastAsia="zh-CN"/>
              </w:rPr>
              <w:t>2023年6月7日-12月31日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03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highlight w:val="none"/>
              </w:rPr>
              <w:t>付款条件：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报价含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highlight w:val="none"/>
                <w:lang w:val="en-US" w:eastAsia="zh-CN"/>
              </w:rPr>
              <w:t>____%增值税专用发票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；乙方按照甲方要求对项目进行实地检测、出具报告并验收合格后，提供合同结算金额全额增值税专用发票，甲方在发票入账60个工作日后付清全款。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03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备注：以上报价包含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val="en-US" w:eastAsia="zh-CN"/>
              </w:rPr>
              <w:t>____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</w:rPr>
              <w:t>%增值税专用发票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、利润、成本、保险等全部费用和除不可抗力外的一切风险（包括政策变化及市场价格变动等所有风险因素）</w:t>
            </w: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2、报价有效期为90天。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3、附件：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（1）报价人认为不包含在本报价内的工作内容或工作范围及参考报价。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（2）常驻管理人员简介、专业工人数量、使用设备机具及材料清单。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（3）授权委托书、公司资质证书、营业执照、法定代表人证等，证件可为原件扫描或加盖公章的复印件扫描。</w:t>
      </w:r>
    </w:p>
    <w:p>
      <w:pPr>
        <w:adjustRightInd w:val="0"/>
        <w:snapToGrid w:val="0"/>
        <w:spacing w:line="48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报价人（盖公章）：</w:t>
      </w:r>
    </w:p>
    <w:p>
      <w:pPr>
        <w:adjustRightInd w:val="0"/>
        <w:snapToGrid w:val="0"/>
        <w:spacing w:line="48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法定代表人（或委托代理人）：</w:t>
      </w:r>
    </w:p>
    <w:p>
      <w:pPr>
        <w:snapToGrid w:val="0"/>
        <w:spacing w:line="480" w:lineRule="auto"/>
        <w:ind w:firstLine="480" w:firstLineChars="200"/>
        <w:rPr>
          <w:rFonts w:hint="eastAsia" w:ascii="微软雅黑" w:hAnsi="微软雅黑" w:eastAsia="微软雅黑" w:cs="微软雅黑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 xml:space="preserve">                            报价日期：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2023年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roid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zMDQwYzk3ZTgyNDUyOGJjNWM2YjNiMDA1NDYwOWMifQ=="/>
  </w:docVars>
  <w:rsids>
    <w:rsidRoot w:val="00000000"/>
    <w:rsid w:val="0289746C"/>
    <w:rsid w:val="12DC2B0A"/>
    <w:rsid w:val="22C86D8B"/>
    <w:rsid w:val="29E23D1D"/>
    <w:rsid w:val="39CD7BBA"/>
    <w:rsid w:val="55B155CD"/>
    <w:rsid w:val="7E3D6A28"/>
    <w:rsid w:val="7E9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00" w:lineRule="exact"/>
      <w:ind w:left="0" w:leftChars="0" w:firstLine="420" w:firstLineChars="200"/>
    </w:pPr>
    <w:rPr>
      <w:rFonts w:ascii="宋体" w:hAnsi="宋体" w:eastAsia="宋体" w:cs="Times New Roman"/>
      <w:sz w:val="24"/>
      <w:szCs w:val="24"/>
    </w:r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spacing w:line="440" w:lineRule="exact"/>
      <w:ind w:firstLine="660"/>
      <w:jc w:val="left"/>
    </w:pPr>
    <w:rPr>
      <w:spacing w:val="5"/>
      <w:kern w:val="0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01"/>
    <w:basedOn w:val="7"/>
    <w:uiPriority w:val="0"/>
    <w:rPr>
      <w:rFonts w:ascii="Droid Sans" w:hAnsi="Droid Sans" w:eastAsia="Droid Sans" w:cs="Droid Sans"/>
      <w:color w:val="000000"/>
      <w:sz w:val="22"/>
      <w:szCs w:val="22"/>
      <w:u w:val="none"/>
    </w:rPr>
  </w:style>
  <w:style w:type="character" w:customStyle="1" w:styleId="9">
    <w:name w:val="font4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0">
    <w:name w:val="font2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697</Words>
  <Characters>732</Characters>
  <Lines>0</Lines>
  <Paragraphs>0</Paragraphs>
  <TotalTime>5</TotalTime>
  <ScaleCrop>false</ScaleCrop>
  <LinksUpToDate>false</LinksUpToDate>
  <CharactersWithSpaces>867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2023-02-21T10:06:00Z</dcterms:created>
  <dc:creator>CGZX</dc:creator>
  <cp:lastModifiedBy>大大大盛</cp:lastModifiedBy>
  <dcterms:modified xsi:type="dcterms:W3CDTF">2023-06-07T11:20:19Z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BAC7667339ED42609F46458DF71261CF_13</vt:lpwstr>
  </property>
</Properties>
</file>