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autoSpaceDE w:val="0"/>
        <w:autoSpaceDN w:val="0"/>
        <w:adjustRightInd w:val="0"/>
        <w:spacing w:line="360" w:lineRule="auto"/>
        <w:ind w:firstLine="883" w:firstLineChars="20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>技术说明书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概述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轮毂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粉末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涂层具有高流平性、同时有良好的透气性能，适合在180℃ 固化，可以大大降低厂家的能源消耗和生产成本。此产品具有良好的物理性能和抗化学腐蚀性能，能满足各轮毂厂家对涂层高流平、低烘烤温度、良好耐化学性能和优良物理性能的要求。 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型号：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灰色底粉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Fonts w:hint="eastAsia" w:ascii="TTFFBD1920t00" w:hAnsi="TTFFBD1920t00" w:cs="TTFFBD1920t00"/>
          <w:b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性能指标</w:t>
      </w:r>
      <w:r>
        <w:rPr>
          <w:rFonts w:hint="eastAsia" w:ascii="TTFFBD1920t00" w:hAnsi="TTFFBD1920t00" w:cs="TTFFBD1920t00"/>
          <w:b/>
          <w:kern w:val="0"/>
          <w:sz w:val="24"/>
          <w:lang w:eastAsia="zh-CN"/>
        </w:rPr>
        <w:t>：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267"/>
        <w:gridCol w:w="238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  <w:t>性能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  <w:t>测试方法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颜色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  <w:t>---------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外观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  <w:t>---------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光滑平整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光泽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GB/T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9754-2007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（60°）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附着力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9286-1998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硬度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GB/T 6739-2006 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default" w:ascii="Arial" w:hAnsi="Arial" w:eastAsia="仿宋" w:cs="Arial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HB（铅笔硬度）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冲击强度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1732-1993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50Kg·cm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柔韧性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1731-1993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CASS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GB/T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10125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240小时通过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耐水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1733-1993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240小时通过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1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盐雾</w:t>
            </w:r>
          </w:p>
        </w:tc>
        <w:tc>
          <w:tcPr>
            <w:tcW w:w="23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</w:rPr>
              <w:t xml:space="preserve">GB/T 1771-2007 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1000小时通过</w:t>
            </w:r>
          </w:p>
        </w:tc>
      </w:tr>
    </w:tbl>
    <w:p>
      <w:pPr>
        <w:rPr>
          <w:rFonts w:hint="eastAsia" w:ascii="TTFFBD1920t00" w:hAnsi="TTFFBD1920t00" w:cs="TTFFBD1920t00"/>
          <w:b/>
          <w:kern w:val="0"/>
          <w:sz w:val="24"/>
        </w:rPr>
      </w:pPr>
      <w:r>
        <w:rPr>
          <w:rFonts w:ascii="TTFFBD1920t00" w:hAnsi="TTFFBD1920t00" w:cs="TTFFBD1920t00"/>
          <w:kern w:val="0"/>
          <w:szCs w:val="21"/>
        </w:rPr>
        <w:t xml:space="preserve"> </w:t>
      </w:r>
    </w:p>
    <w:p>
      <w:pP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型号：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黑色底粉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性能指标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：</w:t>
      </w:r>
    </w:p>
    <w:tbl>
      <w:tblPr>
        <w:tblStyle w:val="4"/>
        <w:tblW w:w="8502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250"/>
        <w:gridCol w:w="2417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  <w:t>性能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  <w:t>测试方法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颜色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  <w:t>---------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外观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  <w:t>---------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光滑平整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光泽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GB/T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9754-2007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15-25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（60°）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附着力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9286-1998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硬度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GB/T 6739-2006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HB（铅笔硬度）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冲击强度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1732-1993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50Kg·cm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柔韧性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1731-1993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CASS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GB/T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10125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240小时通过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耐水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1733-1993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240小时通过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盐雾</w:t>
            </w:r>
          </w:p>
        </w:tc>
        <w:tc>
          <w:tcPr>
            <w:tcW w:w="24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</w:rPr>
              <w:t xml:space="preserve">GB/T 1771-2007 </w:t>
            </w:r>
          </w:p>
        </w:tc>
        <w:tc>
          <w:tcPr>
            <w:tcW w:w="233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1000小时通过</w:t>
            </w:r>
          </w:p>
        </w:tc>
      </w:tr>
    </w:tbl>
    <w:p>
      <w:pPr>
        <w:rPr>
          <w:rFonts w:hint="eastAsia" w:ascii="TTFFBD1920t00" w:hAnsi="TTFFBD1920t00" w:cs="TTFFBD1920t00"/>
          <w:b/>
          <w:kern w:val="0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型号：枪灰色底粉</w:t>
      </w:r>
    </w:p>
    <w:p>
      <w:pP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性能指标</w:t>
      </w:r>
    </w:p>
    <w:p>
      <w:pPr>
        <w:rPr>
          <w:rFonts w:hint="eastAsia" w:ascii="TTFFBD1920t00" w:hAnsi="TTFFBD1920t00" w:cs="TTFFBD1920t00"/>
          <w:b/>
          <w:kern w:val="0"/>
          <w:sz w:val="2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267"/>
        <w:gridCol w:w="243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颜色</w:t>
            </w:r>
          </w:p>
        </w:tc>
        <w:tc>
          <w:tcPr>
            <w:tcW w:w="2433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  <w:t>---------</w:t>
            </w:r>
          </w:p>
        </w:tc>
        <w:tc>
          <w:tcPr>
            <w:tcW w:w="230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外观</w:t>
            </w:r>
          </w:p>
        </w:tc>
        <w:tc>
          <w:tcPr>
            <w:tcW w:w="24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  <w:t>---------</w:t>
            </w:r>
          </w:p>
        </w:tc>
        <w:tc>
          <w:tcPr>
            <w:tcW w:w="230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光滑平整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光泽</w:t>
            </w:r>
          </w:p>
        </w:tc>
        <w:tc>
          <w:tcPr>
            <w:tcW w:w="24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GB/T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9754-2007</w:t>
            </w:r>
          </w:p>
        </w:tc>
        <w:tc>
          <w:tcPr>
            <w:tcW w:w="230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（60°）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附着力</w:t>
            </w:r>
          </w:p>
        </w:tc>
        <w:tc>
          <w:tcPr>
            <w:tcW w:w="24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9286-1998</w:t>
            </w:r>
          </w:p>
        </w:tc>
        <w:tc>
          <w:tcPr>
            <w:tcW w:w="230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硬度</w:t>
            </w:r>
          </w:p>
        </w:tc>
        <w:tc>
          <w:tcPr>
            <w:tcW w:w="24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GB/T 6739-2006 </w:t>
            </w:r>
          </w:p>
        </w:tc>
        <w:tc>
          <w:tcPr>
            <w:tcW w:w="230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HB（铅笔硬度）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冲击强度</w:t>
            </w:r>
          </w:p>
        </w:tc>
        <w:tc>
          <w:tcPr>
            <w:tcW w:w="24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1732-1993</w:t>
            </w:r>
          </w:p>
        </w:tc>
        <w:tc>
          <w:tcPr>
            <w:tcW w:w="230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50Kg·cm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柔韧性</w:t>
            </w:r>
          </w:p>
        </w:tc>
        <w:tc>
          <w:tcPr>
            <w:tcW w:w="24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1731-1993</w:t>
            </w:r>
          </w:p>
        </w:tc>
        <w:tc>
          <w:tcPr>
            <w:tcW w:w="230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CASS</w:t>
            </w:r>
          </w:p>
        </w:tc>
        <w:tc>
          <w:tcPr>
            <w:tcW w:w="24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GB/T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10125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240小时通过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耐水</w:t>
            </w:r>
          </w:p>
        </w:tc>
        <w:tc>
          <w:tcPr>
            <w:tcW w:w="24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 1733-1993</w:t>
            </w:r>
          </w:p>
        </w:tc>
        <w:tc>
          <w:tcPr>
            <w:tcW w:w="230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240小时通过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盐雾</w:t>
            </w:r>
          </w:p>
        </w:tc>
        <w:tc>
          <w:tcPr>
            <w:tcW w:w="24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</w:rPr>
              <w:t xml:space="preserve">GB/T 1771-2007 </w:t>
            </w:r>
          </w:p>
        </w:tc>
        <w:tc>
          <w:tcPr>
            <w:tcW w:w="230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1000小时通过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型号：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透明粉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性能指标</w:t>
      </w:r>
    </w:p>
    <w:tbl>
      <w:tblPr>
        <w:tblStyle w:val="3"/>
        <w:tblW w:w="8620" w:type="dxa"/>
        <w:jc w:val="center"/>
        <w:tblInd w:w="-2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250"/>
        <w:gridCol w:w="2450"/>
        <w:gridCol w:w="2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测试方法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外观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目测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颗粒均匀、均匀、干燥、无结团、受潮，夹杂脏物等现象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颜色、光泽</w:t>
            </w: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目测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按照首批送样确定的颜色、光泽进行控制，不允许出现批次间色差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硬度</w:t>
            </w: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GB/T 6739-1996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≥H铅笔硬度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附着力</w:t>
            </w: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GB/T 9286-1998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0级，100%无脱落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CASS测试</w:t>
            </w: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GB/T 10125-2008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h划线处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腐蚀宽度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小于2mm，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附着力要求无损失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耐水测试</w:t>
            </w: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GB/T 1733-1993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240小时，无气泡、剥落起皱和明显颜色、光泽的变化及涂膜软化；从水中取出20分钟内进行附着力试验，附着力要求无损失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氙灯老化测试</w:t>
            </w:r>
          </w:p>
        </w:tc>
        <w:tc>
          <w:tcPr>
            <w:tcW w:w="2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GB/T 1865-2009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2000小时，保光率大于80%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 频次：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A：质检项目（每批质检报告体现）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C：质保项目（首批必检；产品设计保证项目，按乙方要求。配方发生调整时，需重新提供相应检测结果）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 保质期：产品保质期12个月（在需方保质时间在8个月以上，进口粉末保质期6个月以上。）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.产品兼容性：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乙方粉末产品需在与甲方现有涂料体系组合搭配的条件下，涂层性能满足甲方产品的要求。新开粉末产品，需保证在甲方生产环境中具备上述要求后，方可形成批量供货。乙方应在试做、小批量阶段与甲方共同确认试做效果是否合格。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 运输及包装要求：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⑴、 乙方产品包装需采用双层塑料袋+纸箱包装，塑料袋采用塑封条封口。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⑵、 乙方产品纸箱外粘贴标签表明粉末名称、编号、生产日期及批次、保质期等相关产品信息。保证甲方使用过程中具备可追溯能力。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⑶、 乙方需采用具备危险品运输相关资质的车辆进行配送，避免出现重大安全事故。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⑷、甲方在装卸过程中，如发现以下问题，则不会接收：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A、包装有破损，造成泄露的。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B、目视可以看出纸箱已经受潮或者浸渍的。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C、箱外未使用统一标签标明产品信息的。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D、运输过程中，包装或粉末本身受到其它化学品（包括气体、液体和固体）污染的。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以上情况，一经发现，甲方负责隔离存放保存，乙方需在20个工作日内确认完毕并取回。如出现大批量退货，乙方需第一时间补货交付，保证甲方生产需求。如导致甲方交付异常，造成损失由乙方承担。</w:t>
      </w:r>
    </w:p>
    <w:p>
      <w:pPr>
        <w:tabs>
          <w:tab w:val="left" w:pos="774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⑸、甲方在使用过程中，将先进行手动筛粉，确认粉末是否发潮结团，或者存在杂质，如发现此类问题，则隔离存放，不予使用。乙方需在20个工作日内确认完毕并取回。如出现大批量退货，乙方需第一时间补货交付，保证甲方生产需求。如导致甲方交付异常，则造成损失由乙方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FFBD192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550B3"/>
    <w:rsid w:val="014F7CC0"/>
    <w:rsid w:val="07142A89"/>
    <w:rsid w:val="0F9573DA"/>
    <w:rsid w:val="1D672C61"/>
    <w:rsid w:val="2CB678D2"/>
    <w:rsid w:val="3928325B"/>
    <w:rsid w:val="3FFE0C04"/>
    <w:rsid w:val="45736184"/>
    <w:rsid w:val="487A7C64"/>
    <w:rsid w:val="650915A6"/>
    <w:rsid w:val="658E4F24"/>
    <w:rsid w:val="6A082BC3"/>
    <w:rsid w:val="6DEB32E9"/>
    <w:rsid w:val="70D5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2021-08-09T02:55:00Z</dcterms:created>
  <dc:creator>孙伟</dc:creator>
  <cp:lastModifiedBy>孙伟</cp:lastModifiedBy>
  <dcterms:modified xsi:type="dcterms:W3CDTF">2021-08-09T06:58:40Z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