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color w:val="000000"/>
          <w:sz w:val="36"/>
          <w:szCs w:val="36"/>
          <w:lang w:eastAsia="zh-CN"/>
        </w:rPr>
      </w:pPr>
      <w:r>
        <w:rPr>
          <w:rFonts w:hint="eastAsia" w:ascii="宋体" w:hAnsi="宋体" w:eastAsia="宋体" w:cs="宋体"/>
          <w:b/>
          <w:sz w:val="36"/>
          <w:szCs w:val="36"/>
          <w:lang w:val="en-US" w:eastAsia="zh-CN"/>
        </w:rPr>
        <w:t>广西德保百矿发电有限公司</w:t>
      </w:r>
      <w:r>
        <w:rPr>
          <w:rFonts w:hint="eastAsia" w:ascii="宋体" w:hAnsi="宋体" w:eastAsia="宋体" w:cs="宋体"/>
          <w:b/>
          <w:sz w:val="36"/>
          <w:szCs w:val="36"/>
        </w:rPr>
        <w:t>202</w:t>
      </w:r>
      <w:r>
        <w:rPr>
          <w:rFonts w:hint="eastAsia" w:ascii="宋体" w:hAnsi="宋体" w:eastAsia="宋体" w:cs="宋体"/>
          <w:b/>
          <w:sz w:val="36"/>
          <w:szCs w:val="36"/>
          <w:lang w:val="en-US" w:eastAsia="zh-CN"/>
        </w:rPr>
        <w:t>3</w:t>
      </w:r>
      <w:r>
        <w:rPr>
          <w:rFonts w:hint="eastAsia" w:ascii="宋体" w:hAnsi="宋体" w:eastAsia="宋体" w:cs="宋体"/>
          <w:b/>
          <w:sz w:val="36"/>
          <w:szCs w:val="36"/>
        </w:rPr>
        <w:t>年</w:t>
      </w:r>
      <w:r>
        <w:rPr>
          <w:rFonts w:hint="eastAsia" w:ascii="宋体" w:hAnsi="宋体" w:eastAsia="宋体" w:cs="宋体"/>
          <w:b/>
          <w:sz w:val="36"/>
          <w:szCs w:val="36"/>
          <w:lang w:eastAsia="zh-CN"/>
        </w:rPr>
        <w:t>药品、水样送检技术规范书</w:t>
      </w:r>
    </w:p>
    <w:p>
      <w:pPr>
        <w:spacing w:line="360" w:lineRule="auto"/>
        <w:rPr>
          <w:rFonts w:hint="eastAsia" w:ascii="宋体" w:hAnsi="宋体" w:eastAsia="宋体" w:cs="宋体"/>
          <w:color w:val="000000"/>
          <w:sz w:val="24"/>
          <w:szCs w:val="24"/>
        </w:rPr>
      </w:pPr>
      <w:bookmarkStart w:id="0" w:name="_Toc438716170"/>
      <w:bookmarkStart w:id="1" w:name="_Toc438716982"/>
      <w:bookmarkStart w:id="2" w:name="_Toc395187871"/>
      <w:bookmarkStart w:id="3" w:name="_Toc438717835"/>
      <w:bookmarkStart w:id="4" w:name="_Toc339555574"/>
    </w:p>
    <w:p>
      <w:pPr>
        <w:pStyle w:val="2"/>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firstLine="482" w:firstLineChars="200"/>
        <w:textAlignment w:val="auto"/>
        <w:rPr>
          <w:rFonts w:hint="eastAsia" w:ascii="宋体" w:hAnsi="宋体" w:eastAsia="宋体" w:cs="宋体"/>
          <w:color w:val="000000"/>
          <w:sz w:val="24"/>
          <w:szCs w:val="24"/>
        </w:rPr>
      </w:pPr>
      <w:bookmarkStart w:id="5" w:name="_Toc438718985"/>
      <w:bookmarkStart w:id="6" w:name="_Toc438731097"/>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rPr>
        <w:t>工作范围</w:t>
      </w:r>
      <w:bookmarkStart w:id="7" w:name="_GoBack"/>
      <w:bookmarkEnd w:id="7"/>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服务项目：</w:t>
      </w:r>
      <w:r>
        <w:rPr>
          <w:rFonts w:hint="eastAsia" w:ascii="宋体" w:hAnsi="宋体" w:eastAsia="宋体" w:cs="宋体"/>
          <w:color w:val="000000"/>
          <w:sz w:val="24"/>
          <w:szCs w:val="24"/>
          <w:lang w:eastAsia="zh-CN"/>
        </w:rPr>
        <w:t>广西百色银海发电有限公司</w:t>
      </w:r>
      <w:r>
        <w:rPr>
          <w:rFonts w:hint="eastAsia" w:ascii="宋体" w:hAnsi="宋体" w:eastAsia="宋体" w:cs="宋体"/>
          <w:color w:val="000000"/>
          <w:sz w:val="24"/>
          <w:szCs w:val="24"/>
          <w:lang w:val="en-US" w:eastAsia="zh-CN"/>
        </w:rPr>
        <w:t>2023年药品、水样送检项目</w:t>
      </w:r>
      <w:r>
        <w:rPr>
          <w:rFonts w:hint="eastAsia" w:ascii="宋体" w:hAnsi="宋体" w:eastAsia="宋体" w:cs="宋体"/>
          <w:color w:val="000000"/>
          <w:sz w:val="24"/>
          <w:szCs w:val="24"/>
        </w:rPr>
        <w:t>。</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服务范围：</w:t>
      </w:r>
      <w:r>
        <w:rPr>
          <w:rFonts w:hint="eastAsia" w:ascii="宋体" w:hAnsi="宋体" w:eastAsia="宋体" w:cs="宋体"/>
          <w:color w:val="000000"/>
          <w:sz w:val="24"/>
          <w:szCs w:val="24"/>
          <w:lang w:eastAsia="zh-CN"/>
        </w:rPr>
        <w:t>检测</w:t>
      </w:r>
      <w:r>
        <w:rPr>
          <w:rFonts w:hint="eastAsia" w:ascii="宋体" w:hAnsi="宋体" w:eastAsia="宋体" w:cs="宋体"/>
          <w:color w:val="000000"/>
          <w:sz w:val="24"/>
          <w:szCs w:val="24"/>
        </w:rPr>
        <w:t>服务清单详见</w:t>
      </w:r>
      <w:r>
        <w:rPr>
          <w:rFonts w:hint="eastAsia" w:ascii="宋体" w:hAnsi="宋体" w:eastAsia="宋体" w:cs="宋体"/>
          <w:color w:val="000000"/>
          <w:sz w:val="24"/>
          <w:szCs w:val="24"/>
          <w:lang w:eastAsia="zh-CN"/>
        </w:rPr>
        <w:t>附件（子项目清单）。</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3、服务周期：2023年6月19日至2024年6月18日。</w:t>
      </w:r>
    </w:p>
    <w:p>
      <w:pPr>
        <w:pStyle w:val="3"/>
        <w:keepLines w:val="0"/>
        <w:pageBreakBefore w:val="0"/>
        <w:widowControl w:val="0"/>
        <w:kinsoku/>
        <w:wordWrap/>
        <w:overflowPunct/>
        <w:topLinePunct w:val="0"/>
        <w:autoSpaceDE/>
        <w:autoSpaceDN/>
        <w:bidi w:val="0"/>
        <w:adjustRightInd/>
        <w:snapToGrid/>
        <w:spacing w:before="0" w:after="0" w:line="560" w:lineRule="exact"/>
        <w:ind w:left="0" w:firstLine="482"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二、</w:t>
      </w:r>
      <w:r>
        <w:rPr>
          <w:rFonts w:hint="eastAsia" w:ascii="宋体" w:hAnsi="宋体" w:eastAsia="宋体" w:cs="宋体"/>
          <w:color w:val="000000"/>
          <w:sz w:val="24"/>
          <w:szCs w:val="24"/>
        </w:rPr>
        <w:t>资质及职责</w:t>
      </w:r>
    </w:p>
    <w:p>
      <w:pPr>
        <w:pStyle w:val="3"/>
        <w:keepLines w:val="0"/>
        <w:pageBreakBefore w:val="0"/>
        <w:widowControl w:val="0"/>
        <w:kinsoku/>
        <w:wordWrap/>
        <w:overflowPunct/>
        <w:topLinePunct w:val="0"/>
        <w:autoSpaceDE/>
        <w:autoSpaceDN/>
        <w:bidi w:val="0"/>
        <w:adjustRightInd/>
        <w:snapToGrid/>
        <w:spacing w:before="0" w:after="0" w:line="560" w:lineRule="exact"/>
        <w:ind w:left="0" w:firstLine="482"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乙方资质</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应</w:t>
      </w:r>
      <w:r>
        <w:rPr>
          <w:rFonts w:hint="eastAsia" w:ascii="宋体" w:hAnsi="宋体" w:eastAsia="宋体" w:cs="宋体"/>
          <w:color w:val="000000"/>
          <w:sz w:val="24"/>
          <w:szCs w:val="24"/>
          <w:lang w:val="en-US" w:eastAsia="zh-CN"/>
        </w:rPr>
        <w:t>具有省级或国家级质量技术监督局检测中心及科研机构认定的阻垢剂、杀菌灭藻剂</w:t>
      </w:r>
      <w:r>
        <w:rPr>
          <w:rFonts w:hint="eastAsia" w:ascii="宋体" w:hAnsi="宋体" w:eastAsia="宋体" w:cs="宋体"/>
          <w:color w:val="000000"/>
          <w:sz w:val="24"/>
          <w:szCs w:val="24"/>
          <w:lang w:eastAsia="zh-CN"/>
        </w:rPr>
        <w:t>检测资质证书。</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应有足够的、经检验合格、有效的用于</w:t>
      </w:r>
      <w:r>
        <w:rPr>
          <w:rFonts w:hint="eastAsia" w:ascii="宋体" w:hAnsi="宋体" w:eastAsia="宋体" w:cs="宋体"/>
          <w:color w:val="000000"/>
          <w:sz w:val="24"/>
          <w:szCs w:val="24"/>
          <w:lang w:eastAsia="zh-CN"/>
        </w:rPr>
        <w:t>药品</w:t>
      </w:r>
      <w:r>
        <w:rPr>
          <w:rFonts w:hint="eastAsia" w:ascii="宋体" w:hAnsi="宋体" w:eastAsia="宋体" w:cs="宋体"/>
          <w:color w:val="000000"/>
          <w:sz w:val="24"/>
          <w:szCs w:val="24"/>
        </w:rPr>
        <w:t>检测的设备和仪器。</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参与</w:t>
      </w:r>
      <w:r>
        <w:rPr>
          <w:rFonts w:hint="eastAsia" w:ascii="宋体" w:hAnsi="宋体" w:eastAsia="宋体" w:cs="宋体"/>
          <w:color w:val="000000"/>
          <w:sz w:val="24"/>
          <w:szCs w:val="24"/>
          <w:lang w:eastAsia="zh-CN"/>
        </w:rPr>
        <w:t>检测的人员</w:t>
      </w:r>
      <w:r>
        <w:rPr>
          <w:rFonts w:hint="eastAsia" w:ascii="宋体" w:hAnsi="宋体" w:eastAsia="宋体" w:cs="宋体"/>
          <w:color w:val="000000"/>
          <w:sz w:val="24"/>
          <w:szCs w:val="24"/>
        </w:rPr>
        <w:t xml:space="preserve">应持有相应资格证书。 </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 xml:space="preserve"> 在投标文件中提供上述资质证明文件。</w:t>
      </w:r>
    </w:p>
    <w:p>
      <w:pPr>
        <w:pStyle w:val="3"/>
        <w:keepLines w:val="0"/>
        <w:pageBreakBefore w:val="0"/>
        <w:widowControl w:val="0"/>
        <w:kinsoku/>
        <w:wordWrap/>
        <w:overflowPunct/>
        <w:topLinePunct w:val="0"/>
        <w:autoSpaceDE/>
        <w:autoSpaceDN/>
        <w:bidi w:val="0"/>
        <w:adjustRightInd/>
        <w:snapToGrid/>
        <w:spacing w:before="0" w:after="0" w:line="560" w:lineRule="exact"/>
        <w:ind w:left="0" w:firstLine="482"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乙方责任</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1</w:t>
      </w:r>
      <w:r>
        <w:rPr>
          <w:rFonts w:hint="eastAsia" w:ascii="宋体" w:hAnsi="宋体" w:eastAsia="宋体" w:cs="宋体"/>
          <w:color w:val="000000"/>
          <w:sz w:val="24"/>
          <w:szCs w:val="24"/>
        </w:rPr>
        <w:t>应确保在服务期限内其企业及人员的相关资质满足要求。</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2根据甲方需要，认真贯彻执行国家、行业和甲方有关检验检测的政策、规程、标准、制度；</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xml:space="preserve">.3 </w:t>
      </w:r>
      <w:r>
        <w:rPr>
          <w:rFonts w:hint="eastAsia" w:ascii="宋体" w:hAnsi="宋体" w:eastAsia="宋体" w:cs="宋体"/>
          <w:kern w:val="0"/>
          <w:sz w:val="24"/>
          <w:szCs w:val="24"/>
          <w:lang w:eastAsia="zh-CN"/>
        </w:rPr>
        <w:t>收到甲方送检样品1</w:t>
      </w: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lang w:eastAsia="zh-CN"/>
        </w:rPr>
        <w:t>日内出</w:t>
      </w:r>
      <w:r>
        <w:rPr>
          <w:rFonts w:hint="eastAsia" w:ascii="宋体" w:hAnsi="宋体" w:eastAsia="宋体" w:cs="宋体"/>
          <w:kern w:val="0"/>
          <w:sz w:val="24"/>
          <w:szCs w:val="24"/>
          <w:lang w:val="en-US" w:eastAsia="zh-CN"/>
        </w:rPr>
        <w:t>具</w:t>
      </w:r>
      <w:r>
        <w:rPr>
          <w:rFonts w:hint="eastAsia" w:ascii="宋体" w:hAnsi="宋体" w:eastAsia="宋体" w:cs="宋体"/>
          <w:kern w:val="0"/>
          <w:sz w:val="24"/>
          <w:szCs w:val="24"/>
          <w:lang w:eastAsia="zh-CN"/>
        </w:rPr>
        <w:t>检测报告</w:t>
      </w:r>
      <w:r>
        <w:rPr>
          <w:rFonts w:hint="eastAsia" w:ascii="宋体" w:hAnsi="宋体" w:eastAsia="宋体" w:cs="宋体"/>
          <w:kern w:val="0"/>
          <w:sz w:val="24"/>
          <w:szCs w:val="24"/>
        </w:rPr>
        <w:t>，对分析结果的准确性负责，并出具检定证书。</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xml:space="preserve">.4 </w:t>
      </w:r>
      <w:r>
        <w:rPr>
          <w:rFonts w:hint="eastAsia" w:ascii="宋体" w:hAnsi="宋体" w:eastAsia="宋体" w:cs="宋体"/>
          <w:kern w:val="0"/>
          <w:sz w:val="24"/>
          <w:szCs w:val="24"/>
          <w:lang w:eastAsia="zh-CN"/>
        </w:rPr>
        <w:t>乙方出具的检测结果应可作为向社会出具公正的数据。</w:t>
      </w: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.5 乙方应承诺对甲方信息、提供的实物和技术资料保密。</w:t>
      </w:r>
    </w:p>
    <w:bookmarkEnd w:id="0"/>
    <w:bookmarkEnd w:id="1"/>
    <w:bookmarkEnd w:id="2"/>
    <w:bookmarkEnd w:id="3"/>
    <w:bookmarkEnd w:id="4"/>
    <w:bookmarkEnd w:id="5"/>
    <w:bookmarkEnd w:id="6"/>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rPr>
      </w:pPr>
    </w:p>
    <w:p>
      <w:pPr>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附件：子项目报价清单</w:t>
      </w:r>
    </w:p>
    <w:p>
      <w:pPr>
        <w:rPr>
          <w:rFonts w:hint="eastAsia" w:ascii="宋体" w:hAnsi="宋体" w:eastAsia="宋体" w:cs="宋体"/>
          <w:sz w:val="24"/>
          <w:szCs w:val="24"/>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56"/>
        <w:gridCol w:w="938"/>
        <w:gridCol w:w="1536"/>
        <w:gridCol w:w="793"/>
        <w:gridCol w:w="793"/>
        <w:gridCol w:w="936"/>
        <w:gridCol w:w="1107"/>
        <w:gridCol w:w="19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广西德保百矿发电有限公司2023年药品、水样送检项目子项目清单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80" w:hRule="atLeast"/>
        </w:trPr>
        <w:tc>
          <w:tcPr>
            <w:tcW w:w="30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序号</w:t>
            </w:r>
          </w:p>
        </w:tc>
        <w:tc>
          <w:tcPr>
            <w:tcW w:w="59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药品名称</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项目</w:t>
            </w:r>
          </w:p>
        </w:tc>
        <w:tc>
          <w:tcPr>
            <w:tcW w:w="50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数量</w:t>
            </w:r>
          </w:p>
        </w:tc>
        <w:tc>
          <w:tcPr>
            <w:tcW w:w="50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单位</w:t>
            </w:r>
          </w:p>
        </w:tc>
        <w:tc>
          <w:tcPr>
            <w:tcW w:w="50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单价（元）</w:t>
            </w:r>
          </w:p>
        </w:tc>
        <w:tc>
          <w:tcPr>
            <w:tcW w:w="68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含税小计（元）</w:t>
            </w:r>
          </w:p>
        </w:tc>
        <w:tc>
          <w:tcPr>
            <w:tcW w:w="118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594"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阻垢剂</w:t>
            </w: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PH</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阻垢剂一年用量约160吨，因场地受限，需要分8批药品进厂，每批进厂药品都需要送检。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磷酸盐</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亚磷酸盐</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正磷酸盐</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固体含量</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密度</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59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氧化性杀菌灭藻剂</w:t>
            </w: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有效氯含量</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氧化性杀菌灭藻剂一年用量约9吨，因场地受限，分两批进厂，每批进厂药品都需要送检。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水份</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1%溶液PH值</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59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非氧化性杀菌灭藻剂</w:t>
            </w: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活性物含量</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非氧化性杀菌灭藻剂一年用量约11吨，因场地受限，分两批进厂，每批进厂药品都需要送检。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密度</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1%溶液PH值</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9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#1、#2炉过热蒸汽</w:t>
            </w: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二氧化硅</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每年一次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钠离子</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氯离子</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59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#1、#2炉给水</w:t>
            </w: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PH</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每年一次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二氧化硅</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钠离子</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氯离子</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59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#1、#2冷却塔水样</w:t>
            </w: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全碱度</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半年一次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硬度</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碳酸钙</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电导率</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PH</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总Cl-</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余氯</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总磷</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Fe离子</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59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原水全分析</w:t>
            </w: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氯离子</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半年一次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PH</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钙</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硬度</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总磷</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全碱度</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Fe</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59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电导率</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0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59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水垢样</w:t>
            </w:r>
          </w:p>
        </w:tc>
        <w:tc>
          <w:tcPr>
            <w:tcW w:w="716"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成分分析</w:t>
            </w:r>
          </w:p>
        </w:tc>
        <w:tc>
          <w:tcPr>
            <w:tcW w:w="50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半年一次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300"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59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循环水药剂阻垢率分析</w:t>
            </w:r>
          </w:p>
        </w:tc>
        <w:tc>
          <w:tcPr>
            <w:tcW w:w="71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以钙离子浓度计，mg/L</w:t>
            </w:r>
          </w:p>
        </w:tc>
        <w:tc>
          <w:tcPr>
            <w:tcW w:w="503"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50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次</w:t>
            </w:r>
          </w:p>
        </w:tc>
        <w:tc>
          <w:tcPr>
            <w:tcW w:w="503"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4"/>
                <w:szCs w:val="24"/>
                <w:u w:val="none"/>
              </w:rPr>
            </w:pPr>
          </w:p>
        </w:tc>
        <w:tc>
          <w:tcPr>
            <w:tcW w:w="118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需添加阻垢剂前，阻垢剂后，进行数据对比，检测一次需要8个样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124" w:type="pct"/>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合计</w:t>
            </w:r>
          </w:p>
        </w:tc>
        <w:tc>
          <w:tcPr>
            <w:tcW w:w="687" w:type="pc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0</w:t>
            </w:r>
          </w:p>
        </w:tc>
        <w:tc>
          <w:tcPr>
            <w:tcW w:w="1188" w:type="pct"/>
            <w:tcBorders>
              <w:top w:val="single" w:color="000000" w:sz="4" w:space="0"/>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4"/>
                <w:szCs w:val="24"/>
                <w:u w:val="none"/>
              </w:rPr>
            </w:pPr>
          </w:p>
        </w:tc>
      </w:tr>
    </w:tbl>
    <w:p>
      <w:pPr>
        <w:keepNext w:val="0"/>
        <w:keepLines w:val="0"/>
        <w:widowControl/>
        <w:suppressLineNumbers w:val="0"/>
        <w:jc w:val="both"/>
        <w:textAlignment w:val="center"/>
        <w:rPr>
          <w:rFonts w:hint="eastAsia" w:ascii="宋体" w:hAnsi="宋体" w:eastAsia="宋体" w:cs="宋体"/>
          <w:i w:val="0"/>
          <w:color w:val="000000"/>
          <w:kern w:val="0"/>
          <w:sz w:val="21"/>
          <w:szCs w:val="21"/>
          <w:u w:val="none"/>
          <w:lang w:val="en-US" w:eastAsia="zh-CN" w:bidi="ar"/>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E407A7"/>
    <w:multiLevelType w:val="multilevel"/>
    <w:tmpl w:val="62E407A7"/>
    <w:lvl w:ilvl="0" w:tentative="0">
      <w:start w:val="1"/>
      <w:numFmt w:val="decimal"/>
      <w:pStyle w:val="2"/>
      <w:lvlText w:val="%1."/>
      <w:lvlJc w:val="left"/>
      <w:pPr>
        <w:tabs>
          <w:tab w:val="left" w:pos="704"/>
        </w:tabs>
        <w:ind w:left="704" w:hanging="420"/>
      </w:pPr>
      <w:rPr>
        <w:rFonts w:cs="Times New Roman"/>
      </w:rPr>
    </w:lvl>
    <w:lvl w:ilvl="1" w:tentative="0">
      <w:start w:val="0"/>
      <w:numFmt w:val="none"/>
      <w:lvlText w:val=""/>
      <w:lvlJc w:val="left"/>
      <w:pPr>
        <w:tabs>
          <w:tab w:val="left" w:pos="360"/>
        </w:tabs>
      </w:pPr>
      <w:rPr>
        <w:rFonts w:cs="Times New Roman"/>
      </w:r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none"/>
      <w:lvlText w:val=""/>
      <w:lvlJc w:val="left"/>
      <w:pPr>
        <w:tabs>
          <w:tab w:val="left" w:pos="360"/>
        </w:tabs>
      </w:pPr>
      <w:rPr>
        <w:rFonts w:cs="Times New Roman"/>
      </w:rPr>
    </w:lvl>
    <w:lvl w:ilvl="5" w:tentative="0">
      <w:start w:val="0"/>
      <w:numFmt w:val="none"/>
      <w:lvlText w:val=""/>
      <w:lvlJc w:val="left"/>
      <w:pPr>
        <w:tabs>
          <w:tab w:val="left" w:pos="360"/>
        </w:tabs>
      </w:pPr>
      <w:rPr>
        <w:rFonts w:cs="Times New Roman"/>
      </w:rPr>
    </w:lvl>
    <w:lvl w:ilvl="6" w:tentative="0">
      <w:start w:val="0"/>
      <w:numFmt w:val="none"/>
      <w:lvlText w:val=""/>
      <w:lvlJc w:val="left"/>
      <w:pPr>
        <w:tabs>
          <w:tab w:val="left" w:pos="360"/>
        </w:tabs>
      </w:pPr>
      <w:rPr>
        <w:rFonts w:cs="Times New Roman"/>
      </w:rPr>
    </w:lvl>
    <w:lvl w:ilvl="7" w:tentative="0">
      <w:start w:val="0"/>
      <w:numFmt w:val="none"/>
      <w:lvlText w:val=""/>
      <w:lvlJc w:val="left"/>
      <w:pPr>
        <w:tabs>
          <w:tab w:val="left" w:pos="360"/>
        </w:tabs>
      </w:pPr>
      <w:rPr>
        <w:rFonts w:cs="Times New Roman"/>
      </w:rPr>
    </w:lvl>
    <w:lvl w:ilvl="8" w:tentative="0">
      <w:start w:val="0"/>
      <w:numFmt w:val="none"/>
      <w:lvlText w:val=""/>
      <w:lvlJc w:val="left"/>
      <w:pPr>
        <w:tabs>
          <w:tab w:val="left" w:pos="360"/>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xNDc0NDE5NjE1YWFmMWRjOGFhNzA2OTYzNzZmNTAifQ=="/>
  </w:docVars>
  <w:rsids>
    <w:rsidRoot w:val="00000000"/>
    <w:rsid w:val="01277F6A"/>
    <w:rsid w:val="035F1180"/>
    <w:rsid w:val="03F42F17"/>
    <w:rsid w:val="043A51F7"/>
    <w:rsid w:val="04DF5F2E"/>
    <w:rsid w:val="06855834"/>
    <w:rsid w:val="09A60501"/>
    <w:rsid w:val="09CD7577"/>
    <w:rsid w:val="0C072435"/>
    <w:rsid w:val="132D5535"/>
    <w:rsid w:val="18EA7F9D"/>
    <w:rsid w:val="19E93994"/>
    <w:rsid w:val="1B44269B"/>
    <w:rsid w:val="1B8E21CD"/>
    <w:rsid w:val="1BC12168"/>
    <w:rsid w:val="1CC452C4"/>
    <w:rsid w:val="1D0E4BF9"/>
    <w:rsid w:val="1F5970EE"/>
    <w:rsid w:val="1F854743"/>
    <w:rsid w:val="20315D5E"/>
    <w:rsid w:val="25214201"/>
    <w:rsid w:val="26B7404A"/>
    <w:rsid w:val="270D63E8"/>
    <w:rsid w:val="278B4A30"/>
    <w:rsid w:val="2A4A00D5"/>
    <w:rsid w:val="2FF51A6D"/>
    <w:rsid w:val="370B22E4"/>
    <w:rsid w:val="37284F64"/>
    <w:rsid w:val="38B46DF8"/>
    <w:rsid w:val="39407025"/>
    <w:rsid w:val="399C0D96"/>
    <w:rsid w:val="3FD8029B"/>
    <w:rsid w:val="443E114C"/>
    <w:rsid w:val="48C51197"/>
    <w:rsid w:val="49355FD2"/>
    <w:rsid w:val="4D877608"/>
    <w:rsid w:val="4EB94960"/>
    <w:rsid w:val="4F3C5104"/>
    <w:rsid w:val="50813D81"/>
    <w:rsid w:val="50F96FFC"/>
    <w:rsid w:val="526A7E9A"/>
    <w:rsid w:val="56850319"/>
    <w:rsid w:val="57C068B2"/>
    <w:rsid w:val="5AAA6C6B"/>
    <w:rsid w:val="6146041F"/>
    <w:rsid w:val="614A70FF"/>
    <w:rsid w:val="615F28B2"/>
    <w:rsid w:val="6166625C"/>
    <w:rsid w:val="63741A62"/>
    <w:rsid w:val="683A49CE"/>
    <w:rsid w:val="693412D7"/>
    <w:rsid w:val="7043483D"/>
    <w:rsid w:val="711A462C"/>
    <w:rsid w:val="7C5B3C24"/>
    <w:rsid w:val="7EB53269"/>
    <w:rsid w:val="7EE3457A"/>
    <w:rsid w:val="7FB17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360" w:after="120"/>
      <w:jc w:val="left"/>
      <w:outlineLvl w:val="0"/>
    </w:pPr>
    <w:rPr>
      <w:rFonts w:ascii="Arial" w:hAnsi="Arial"/>
      <w:b/>
      <w:caps/>
      <w:sz w:val="24"/>
      <w:szCs w:val="20"/>
    </w:rPr>
  </w:style>
  <w:style w:type="paragraph" w:styleId="3">
    <w:name w:val="heading 2"/>
    <w:basedOn w:val="1"/>
    <w:next w:val="4"/>
    <w:qFormat/>
    <w:uiPriority w:val="0"/>
    <w:pPr>
      <w:keepNext/>
      <w:spacing w:before="240" w:after="120"/>
      <w:ind w:left="454"/>
      <w:jc w:val="left"/>
      <w:outlineLvl w:val="1"/>
    </w:pPr>
    <w:rPr>
      <w:rFonts w:ascii="Arial" w:hAnsi="Arial"/>
      <w:b/>
      <w:sz w:val="28"/>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djustRightInd w:val="0"/>
      <w:spacing w:line="410" w:lineRule="atLeast"/>
      <w:ind w:firstLine="420"/>
      <w:jc w:val="left"/>
      <w:textAlignment w:val="baseline"/>
    </w:pPr>
    <w:rPr>
      <w:rFonts w:ascii="宋体"/>
      <w:kern w:val="0"/>
      <w:sz w:val="24"/>
      <w:szCs w:val="20"/>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01"/>
    <w:basedOn w:val="9"/>
    <w:qFormat/>
    <w:uiPriority w:val="0"/>
    <w:rPr>
      <w:rFonts w:ascii="Calibri" w:hAnsi="Calibri" w:cs="Calibri"/>
      <w:color w:val="000000"/>
      <w:sz w:val="28"/>
      <w:szCs w:val="28"/>
      <w:u w:val="none"/>
    </w:rPr>
  </w:style>
  <w:style w:type="character" w:customStyle="1" w:styleId="11">
    <w:name w:val="font21"/>
    <w:basedOn w:val="9"/>
    <w:qFormat/>
    <w:uiPriority w:val="0"/>
    <w:rPr>
      <w:rFonts w:hint="eastAsia" w:ascii="宋体" w:hAnsi="宋体" w:eastAsia="宋体" w:cs="宋体"/>
      <w:color w:val="000000"/>
      <w:sz w:val="24"/>
      <w:szCs w:val="24"/>
      <w:u w:val="none"/>
    </w:rPr>
  </w:style>
  <w:style w:type="paragraph" w:customStyle="1" w:styleId="12">
    <w:name w:val="Default"/>
    <w:qFormat/>
    <w:uiPriority w:val="0"/>
    <w:pPr>
      <w:widowControl w:val="0"/>
      <w:autoSpaceDE w:val="0"/>
      <w:autoSpaceDN w:val="0"/>
    </w:pPr>
    <w:rPr>
      <w:rFonts w:hint="eastAsia" w:ascii="宋体" w:hAnsi="宋体" w:eastAsia="宋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394</Words>
  <Characters>427</Characters>
  <Lines>0</Lines>
  <Paragraphs>0</Paragraphs>
  <TotalTime>21</TotalTime>
  <ScaleCrop>false</ScaleCrop>
  <LinksUpToDate>false</LinksUpToDate>
  <CharactersWithSpaces>432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2020-08-27T03:57:00Z</dcterms:created>
  <dc:creator>dell</dc:creator>
  <cp:lastModifiedBy>四夕羅</cp:lastModifiedBy>
  <dcterms:modified xsi:type="dcterms:W3CDTF">2023-06-14T06:54:24Z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A2763E92AE05480387E7DF92FE455B5A_13</vt:lpwstr>
  </property>
</Properties>
</file>