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8" w:line="405" w:lineRule="auto"/>
        <w:ind w:right="530"/>
        <w:jc w:val="center"/>
        <w:rPr>
          <w:rFonts w:hint="eastAsia" w:ascii="宋体" w:hAnsi="宋体" w:eastAsia="宋体" w:cs="宋体"/>
          <w:b/>
          <w:bCs/>
          <w:color w:val="auto"/>
          <w:sz w:val="48"/>
          <w:szCs w:val="48"/>
          <w:lang w:val="en-US" w:eastAsia="zh-CN"/>
        </w:rPr>
      </w:pPr>
      <w:r>
        <w:rPr>
          <w:rFonts w:hint="eastAsia" w:ascii="宋体" w:hAnsi="宋体" w:cs="宋体"/>
          <w:b/>
          <w:bCs/>
          <w:color w:val="auto"/>
          <w:w w:val="95"/>
          <w:sz w:val="48"/>
          <w:szCs w:val="48"/>
          <w:lang w:val="en-US" w:eastAsia="zh-CN"/>
        </w:rPr>
        <w:t>靖锰公司新兴锰厂剥离机备件采购</w:t>
      </w:r>
      <w:r>
        <w:rPr>
          <w:rFonts w:hint="eastAsia" w:ascii="宋体" w:hAnsi="宋体" w:eastAsia="宋体" w:cs="宋体"/>
          <w:b/>
          <w:bCs/>
          <w:color w:val="auto"/>
          <w:sz w:val="48"/>
          <w:szCs w:val="48"/>
        </w:rPr>
        <w:t>技术</w:t>
      </w:r>
      <w:r>
        <w:rPr>
          <w:rFonts w:hint="eastAsia" w:ascii="宋体" w:hAnsi="宋体" w:eastAsia="宋体" w:cs="宋体"/>
          <w:b/>
          <w:bCs/>
          <w:color w:val="auto"/>
          <w:sz w:val="48"/>
          <w:szCs w:val="48"/>
          <w:lang w:val="en-US" w:eastAsia="zh-CN"/>
        </w:rPr>
        <w:t>规范书</w:t>
      </w:r>
    </w:p>
    <w:p>
      <w:pPr>
        <w:jc w:val="center"/>
        <w:rPr>
          <w:rFonts w:hint="eastAsia" w:ascii="宋体" w:hAnsi="宋体" w:cs="宋体"/>
          <w:b/>
          <w:bCs/>
          <w:color w:val="auto"/>
          <w:sz w:val="52"/>
          <w:szCs w:val="52"/>
          <w:lang w:val="en-US" w:eastAsia="zh-CN"/>
        </w:rPr>
      </w:pPr>
    </w:p>
    <w:p>
      <w:pPr>
        <w:pStyle w:val="9"/>
        <w:rPr>
          <w:rFonts w:hint="eastAsia" w:ascii="宋体" w:hAnsi="宋体" w:cs="宋体"/>
          <w:b/>
          <w:bCs/>
          <w:color w:val="auto"/>
          <w:sz w:val="52"/>
          <w:szCs w:val="52"/>
          <w:lang w:val="en-US" w:eastAsia="zh-CN"/>
        </w:rPr>
      </w:pPr>
    </w:p>
    <w:p>
      <w:pPr>
        <w:pStyle w:val="9"/>
        <w:rPr>
          <w:rFonts w:hint="default" w:ascii="宋体" w:hAnsi="宋体" w:cs="宋体"/>
          <w:b/>
          <w:bCs/>
          <w:color w:val="auto"/>
          <w:sz w:val="52"/>
          <w:szCs w:val="52"/>
          <w:lang w:val="en-US" w:eastAsia="zh-CN"/>
        </w:rPr>
      </w:pPr>
    </w:p>
    <w:p>
      <w:pPr>
        <w:pStyle w:val="9"/>
        <w:rPr>
          <w:rFonts w:hint="eastAsia" w:ascii="宋体" w:hAnsi="宋体" w:eastAsia="宋体" w:cs="宋体"/>
          <w:color w:val="auto"/>
          <w:sz w:val="52"/>
          <w:szCs w:val="52"/>
        </w:rPr>
      </w:pPr>
    </w:p>
    <w:p>
      <w:pPr>
        <w:pStyle w:val="9"/>
        <w:rPr>
          <w:rFonts w:hint="eastAsia" w:ascii="宋体" w:hAnsi="宋体" w:eastAsia="宋体" w:cs="宋体"/>
          <w:color w:val="auto"/>
          <w:sz w:val="24"/>
          <w:szCs w:val="24"/>
        </w:rPr>
      </w:pPr>
    </w:p>
    <w:p>
      <w:pPr>
        <w:pStyle w:val="9"/>
        <w:spacing w:line="800" w:lineRule="exact"/>
        <w:ind w:firstLine="2650" w:firstLineChars="1100"/>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编制</w:t>
      </w:r>
      <w:r>
        <w:rPr>
          <w:rFonts w:hint="eastAsia" w:ascii="宋体" w:hAnsi="宋体" w:eastAsia="宋体" w:cs="宋体"/>
          <w:b/>
          <w:bCs/>
          <w:color w:val="auto"/>
          <w:sz w:val="24"/>
          <w:szCs w:val="24"/>
          <w:u w:val="single"/>
        </w:rPr>
        <w:t xml:space="preserve">                   </w:t>
      </w:r>
    </w:p>
    <w:p>
      <w:pPr>
        <w:pStyle w:val="9"/>
        <w:spacing w:line="800" w:lineRule="exact"/>
        <w:ind w:firstLine="2537" w:firstLineChars="1053"/>
        <w:jc w:val="both"/>
        <w:rPr>
          <w:rFonts w:hint="eastAsia" w:ascii="宋体" w:hAnsi="宋体" w:eastAsia="宋体" w:cs="宋体"/>
          <w:b/>
          <w:bCs/>
          <w:color w:val="auto"/>
          <w:sz w:val="24"/>
          <w:szCs w:val="24"/>
          <w:u w:val="single"/>
        </w:rPr>
      </w:pPr>
    </w:p>
    <w:p>
      <w:pPr>
        <w:pStyle w:val="9"/>
        <w:spacing w:line="800" w:lineRule="exact"/>
        <w:ind w:firstLine="2650" w:firstLineChars="1100"/>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审核</w:t>
      </w:r>
      <w:r>
        <w:rPr>
          <w:rFonts w:hint="eastAsia" w:ascii="宋体" w:hAnsi="宋体" w:eastAsia="宋体" w:cs="宋体"/>
          <w:b/>
          <w:bCs/>
          <w:color w:val="auto"/>
          <w:sz w:val="24"/>
          <w:szCs w:val="24"/>
          <w:u w:val="single"/>
        </w:rPr>
        <w:t xml:space="preserve">                   </w:t>
      </w:r>
    </w:p>
    <w:p>
      <w:pPr>
        <w:pStyle w:val="9"/>
        <w:spacing w:line="800" w:lineRule="exact"/>
        <w:ind w:firstLine="2537" w:firstLineChars="1053"/>
        <w:jc w:val="both"/>
        <w:rPr>
          <w:rFonts w:hint="eastAsia" w:ascii="宋体" w:hAnsi="宋体" w:eastAsia="宋体" w:cs="宋体"/>
          <w:b/>
          <w:bCs/>
          <w:color w:val="auto"/>
          <w:sz w:val="24"/>
          <w:szCs w:val="24"/>
          <w:u w:val="single"/>
        </w:rPr>
      </w:pPr>
    </w:p>
    <w:p>
      <w:pPr>
        <w:pStyle w:val="9"/>
        <w:spacing w:line="800" w:lineRule="exact"/>
        <w:ind w:firstLine="2776" w:firstLineChars="1152"/>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批准</w:t>
      </w:r>
      <w:r>
        <w:rPr>
          <w:rFonts w:hint="eastAsia" w:ascii="宋体" w:hAnsi="宋体" w:eastAsia="宋体" w:cs="宋体"/>
          <w:b/>
          <w:bCs/>
          <w:color w:val="auto"/>
          <w:sz w:val="24"/>
          <w:szCs w:val="24"/>
          <w:u w:val="single"/>
        </w:rPr>
        <w:t xml:space="preserve">                   </w:t>
      </w:r>
    </w:p>
    <w:p>
      <w:pPr>
        <w:pStyle w:val="9"/>
        <w:rPr>
          <w:rFonts w:hint="eastAsia" w:ascii="宋体" w:hAnsi="宋体" w:eastAsia="宋体" w:cs="宋体"/>
          <w:color w:val="auto"/>
          <w:sz w:val="24"/>
          <w:szCs w:val="24"/>
        </w:rPr>
      </w:pPr>
    </w:p>
    <w:p>
      <w:pPr>
        <w:pStyle w:val="9"/>
        <w:rPr>
          <w:rFonts w:hint="eastAsia" w:ascii="宋体" w:hAnsi="宋体" w:eastAsia="宋体" w:cs="宋体"/>
          <w:color w:val="auto"/>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bidi="ar"/>
              </w:rPr>
              <w:t>招标方</w:t>
            </w:r>
            <w:r>
              <w:rPr>
                <w:rFonts w:hint="eastAsia" w:ascii="宋体" w:hAnsi="宋体" w:eastAsia="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靖西市锰矿有限责任公司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投标方</w:t>
            </w:r>
            <w:r>
              <w:rPr>
                <w:rFonts w:hint="eastAsia" w:ascii="宋体" w:hAnsi="宋体" w:eastAsia="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eastAsia="宋体" w:cs="宋体"/>
                <w:color w:val="auto"/>
                <w:sz w:val="24"/>
                <w:szCs w:val="24"/>
              </w:rPr>
            </w:pPr>
          </w:p>
        </w:tc>
      </w:tr>
    </w:tbl>
    <w:p>
      <w:pPr>
        <w:ind w:firstLine="480" w:firstLineChars="200"/>
        <w:jc w:val="center"/>
        <w:rPr>
          <w:rFonts w:hint="eastAsia" w:ascii="宋体" w:hAnsi="宋体" w:eastAsia="宋体" w:cs="宋体"/>
          <w:color w:val="auto"/>
          <w:sz w:val="24"/>
          <w:szCs w:val="24"/>
          <w:lang w:bidi="ar"/>
        </w:rPr>
      </w:pPr>
    </w:p>
    <w:p>
      <w:pPr>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年  月  日</w:t>
      </w:r>
    </w:p>
    <w:p>
      <w:pPr>
        <w:ind w:firstLine="480" w:firstLineChars="200"/>
        <w:jc w:val="center"/>
        <w:rPr>
          <w:rFonts w:hint="eastAsia" w:ascii="宋体" w:hAnsi="宋体" w:eastAsia="宋体" w:cs="宋体"/>
          <w:color w:val="auto"/>
          <w:sz w:val="24"/>
          <w:szCs w:val="24"/>
        </w:rPr>
      </w:pPr>
    </w:p>
    <w:p>
      <w:pPr>
        <w:ind w:firstLine="480" w:firstLineChars="200"/>
        <w:jc w:val="center"/>
        <w:textAlignment w:val="baseline"/>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b/>
          <w:bCs/>
          <w:color w:val="auto"/>
          <w:sz w:val="24"/>
          <w:szCs w:val="24"/>
        </w:rPr>
      </w:pPr>
    </w:p>
    <w:p>
      <w:pPr>
        <w:pStyle w:val="9"/>
        <w:rPr>
          <w:rFonts w:hint="eastAsia"/>
          <w:color w:val="auto"/>
        </w:rPr>
      </w:pPr>
    </w:p>
    <w:p>
      <w:pPr>
        <w:spacing w:before="0" w:beforeLines="0" w:after="0" w:afterLines="0" w:line="240" w:lineRule="auto"/>
        <w:ind w:left="0" w:leftChars="0" w:right="0" w:rightChars="0" w:firstLine="0" w:firstLineChars="0"/>
        <w:jc w:val="center"/>
        <w:outlineLvl w:val="0"/>
        <w:rPr>
          <w:rFonts w:ascii="宋体" w:hAnsi="宋体" w:eastAsia="宋体"/>
          <w:b/>
          <w:bCs/>
          <w:color w:val="auto"/>
          <w:sz w:val="28"/>
          <w:szCs w:val="24"/>
        </w:rPr>
      </w:pPr>
      <w:bookmarkStart w:id="0" w:name="_Toc10159"/>
      <w:r>
        <w:rPr>
          <w:rFonts w:ascii="宋体" w:hAnsi="宋体" w:eastAsia="宋体"/>
          <w:b/>
          <w:bCs/>
          <w:color w:val="auto"/>
          <w:sz w:val="28"/>
          <w:szCs w:val="24"/>
        </w:rPr>
        <w:t>目录</w:t>
      </w:r>
      <w:bookmarkEnd w:id="0"/>
    </w:p>
    <w:sdt>
      <w:sdtPr>
        <w:rPr>
          <w:rFonts w:ascii="宋体" w:hAnsi="宋体" w:eastAsia="宋体" w:cs="Times New Roman"/>
          <w:b/>
          <w:bCs/>
          <w:color w:val="auto"/>
          <w:kern w:val="2"/>
          <w:sz w:val="21"/>
          <w:lang w:val="en-US" w:eastAsia="zh-CN" w:bidi="ar-SA"/>
        </w:rPr>
        <w:id w:val="147465040"/>
        <w15:color w:val="DBDBDB"/>
        <w:docPartObj>
          <w:docPartGallery w:val="Table of Contents"/>
          <w:docPartUnique/>
        </w:docPartObj>
      </w:sdtPr>
      <w:sdtEndPr>
        <w:rPr>
          <w:rFonts w:hint="eastAsia" w:ascii="宋体" w:hAnsi="宋体" w:eastAsia="宋体" w:cs="Times New Roman"/>
          <w:b/>
          <w:bCs/>
          <w:color w:val="auto"/>
          <w:kern w:val="0"/>
          <w:sz w:val="24"/>
          <w:lang w:val="en-US" w:eastAsia="zh-CN" w:bidi="ar-SA"/>
        </w:rPr>
      </w:sdtEndPr>
      <w:sdtContent>
        <w:p>
          <w:pPr>
            <w:spacing w:before="0" w:beforeLines="0" w:after="0" w:afterLines="0" w:line="240" w:lineRule="auto"/>
            <w:ind w:left="0" w:leftChars="0" w:right="0" w:rightChars="0" w:firstLine="0" w:firstLineChars="0"/>
            <w:jc w:val="center"/>
            <w:rPr>
              <w:b/>
              <w:bCs/>
              <w:color w:val="auto"/>
            </w:rPr>
          </w:pP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TOC \o "1-1" \h \u </w:instrText>
          </w:r>
          <w:r>
            <w:rPr>
              <w:rFonts w:hint="eastAsia"/>
              <w:color w:val="auto"/>
            </w:rPr>
            <w:fldChar w:fldCharType="separate"/>
          </w:r>
          <w:r>
            <w:rPr>
              <w:rFonts w:hint="eastAsia"/>
              <w:color w:val="auto"/>
            </w:rPr>
            <w:fldChar w:fldCharType="begin"/>
          </w:r>
          <w:r>
            <w:rPr>
              <w:rFonts w:hint="eastAsia"/>
              <w:color w:val="auto"/>
            </w:rPr>
            <w:instrText xml:space="preserve"> HYPERLINK \l _Toc10159 </w:instrText>
          </w:r>
          <w:r>
            <w:rPr>
              <w:rFonts w:hint="eastAsia"/>
              <w:color w:val="auto"/>
            </w:rPr>
            <w:fldChar w:fldCharType="separate"/>
          </w:r>
          <w:r>
            <w:rPr>
              <w:rFonts w:ascii="宋体" w:hAnsi="宋体" w:eastAsia="宋体"/>
              <w:bCs/>
              <w:color w:val="auto"/>
              <w:szCs w:val="24"/>
            </w:rPr>
            <w:t>目录</w:t>
          </w:r>
          <w:r>
            <w:rPr>
              <w:color w:val="auto"/>
            </w:rPr>
            <w:tab/>
          </w:r>
          <w:r>
            <w:rPr>
              <w:color w:val="auto"/>
            </w:rPr>
            <w:fldChar w:fldCharType="begin"/>
          </w:r>
          <w:r>
            <w:rPr>
              <w:color w:val="auto"/>
            </w:rPr>
            <w:instrText xml:space="preserve"> PAGEREF _Toc10159 </w:instrText>
          </w:r>
          <w:r>
            <w:rPr>
              <w:color w:val="auto"/>
            </w:rPr>
            <w:fldChar w:fldCharType="separate"/>
          </w:r>
          <w:r>
            <w:rPr>
              <w:color w:val="auto"/>
            </w:rPr>
            <w:t>2</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_Toc28583 </w:instrText>
          </w:r>
          <w:r>
            <w:rPr>
              <w:rFonts w:hint="eastAsia"/>
              <w:color w:val="auto"/>
            </w:rPr>
            <w:fldChar w:fldCharType="separate"/>
          </w:r>
          <w:r>
            <w:rPr>
              <w:rFonts w:hint="eastAsia"/>
              <w:color w:val="auto"/>
            </w:rPr>
            <w:t>1</w:t>
          </w:r>
          <w:r>
            <w:rPr>
              <w:rFonts w:hint="eastAsia"/>
              <w:color w:val="auto"/>
              <w:lang w:eastAsia="zh-CN"/>
            </w:rPr>
            <w:t>、</w:t>
          </w:r>
          <w:r>
            <w:rPr>
              <w:rFonts w:hint="eastAsia"/>
              <w:color w:val="auto"/>
            </w:rPr>
            <w:t>总则</w:t>
          </w:r>
          <w:r>
            <w:rPr>
              <w:color w:val="auto"/>
            </w:rPr>
            <w:tab/>
          </w:r>
          <w:r>
            <w:rPr>
              <w:color w:val="auto"/>
            </w:rPr>
            <w:fldChar w:fldCharType="begin"/>
          </w:r>
          <w:r>
            <w:rPr>
              <w:color w:val="auto"/>
            </w:rPr>
            <w:instrText xml:space="preserve"> PAGEREF _Toc28583 </w:instrText>
          </w:r>
          <w:r>
            <w:rPr>
              <w:color w:val="auto"/>
            </w:rPr>
            <w:fldChar w:fldCharType="separate"/>
          </w:r>
          <w:r>
            <w:rPr>
              <w:color w:val="auto"/>
            </w:rPr>
            <w:t>3</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_Toc4109 </w:instrText>
          </w:r>
          <w:r>
            <w:rPr>
              <w:rFonts w:hint="eastAsia"/>
              <w:color w:val="auto"/>
            </w:rPr>
            <w:fldChar w:fldCharType="separate"/>
          </w:r>
          <w:r>
            <w:rPr>
              <w:rFonts w:hint="eastAsia"/>
              <w:color w:val="auto"/>
            </w:rPr>
            <w:t>2</w:t>
          </w:r>
          <w:r>
            <w:rPr>
              <w:rFonts w:hint="eastAsia"/>
              <w:color w:val="auto"/>
              <w:lang w:eastAsia="zh-CN"/>
            </w:rPr>
            <w:t>、</w:t>
          </w:r>
          <w:r>
            <w:rPr>
              <w:rFonts w:hint="eastAsia"/>
              <w:color w:val="auto"/>
            </w:rPr>
            <w:t>工程概述</w:t>
          </w:r>
          <w:r>
            <w:rPr>
              <w:color w:val="auto"/>
            </w:rPr>
            <w:tab/>
          </w:r>
          <w:r>
            <w:rPr>
              <w:color w:val="auto"/>
            </w:rPr>
            <w:fldChar w:fldCharType="begin"/>
          </w:r>
          <w:r>
            <w:rPr>
              <w:color w:val="auto"/>
            </w:rPr>
            <w:instrText xml:space="preserve"> PAGEREF _Toc4109 </w:instrText>
          </w:r>
          <w:r>
            <w:rPr>
              <w:color w:val="auto"/>
            </w:rPr>
            <w:fldChar w:fldCharType="separate"/>
          </w:r>
          <w:r>
            <w:rPr>
              <w:color w:val="auto"/>
            </w:rPr>
            <w:t>4</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_Toc8161 </w:instrText>
          </w:r>
          <w:r>
            <w:rPr>
              <w:rFonts w:hint="eastAsia"/>
              <w:color w:val="auto"/>
            </w:rPr>
            <w:fldChar w:fldCharType="separate"/>
          </w:r>
          <w:r>
            <w:rPr>
              <w:rFonts w:hint="eastAsia"/>
              <w:strike w:val="0"/>
              <w:dstrike w:val="0"/>
              <w:color w:val="auto"/>
            </w:rPr>
            <w:t>3</w:t>
          </w:r>
          <w:r>
            <w:rPr>
              <w:rFonts w:hint="eastAsia"/>
              <w:strike w:val="0"/>
              <w:dstrike w:val="0"/>
              <w:color w:val="auto"/>
              <w:lang w:eastAsia="zh-CN"/>
            </w:rPr>
            <w:t>、</w:t>
          </w:r>
          <w:r>
            <w:rPr>
              <w:rFonts w:hint="eastAsia"/>
              <w:strike w:val="0"/>
              <w:dstrike w:val="0"/>
              <w:color w:val="auto"/>
            </w:rPr>
            <w:t>设计和运行条件</w:t>
          </w:r>
          <w:r>
            <w:rPr>
              <w:color w:val="auto"/>
            </w:rPr>
            <w:tab/>
          </w:r>
          <w:r>
            <w:rPr>
              <w:color w:val="auto"/>
            </w:rPr>
            <w:fldChar w:fldCharType="begin"/>
          </w:r>
          <w:r>
            <w:rPr>
              <w:color w:val="auto"/>
            </w:rPr>
            <w:instrText xml:space="preserve"> PAGEREF _Toc8161 </w:instrText>
          </w:r>
          <w:r>
            <w:rPr>
              <w:color w:val="auto"/>
            </w:rPr>
            <w:fldChar w:fldCharType="separate"/>
          </w:r>
          <w:r>
            <w:rPr>
              <w:color w:val="auto"/>
            </w:rPr>
            <w:t>4</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_Toc20351 </w:instrText>
          </w:r>
          <w:r>
            <w:rPr>
              <w:rFonts w:hint="eastAsia"/>
              <w:color w:val="auto"/>
            </w:rPr>
            <w:fldChar w:fldCharType="separate"/>
          </w:r>
          <w:r>
            <w:rPr>
              <w:rFonts w:hint="eastAsia"/>
              <w:color w:val="auto"/>
              <w:lang w:val="en-US" w:eastAsia="zh-CN"/>
            </w:rPr>
            <w:t>4、剥离机备品备件</w:t>
          </w:r>
          <w:r>
            <w:rPr>
              <w:rFonts w:hint="eastAsia"/>
              <w:color w:val="auto"/>
              <w:szCs w:val="28"/>
              <w:lang w:val="en-US" w:eastAsia="zh-CN"/>
            </w:rPr>
            <w:t>供货</w:t>
          </w:r>
          <w:r>
            <w:rPr>
              <w:rFonts w:hint="eastAsia"/>
              <w:color w:val="auto"/>
              <w:lang w:val="en-US" w:eastAsia="zh-CN"/>
            </w:rPr>
            <w:t>范围、质保期及</w:t>
          </w:r>
          <w:r>
            <w:rPr>
              <w:rFonts w:hint="eastAsia"/>
              <w:color w:val="auto"/>
            </w:rPr>
            <w:t>技术要求</w:t>
          </w:r>
          <w:r>
            <w:rPr>
              <w:color w:val="auto"/>
            </w:rPr>
            <w:tab/>
          </w:r>
          <w:r>
            <w:rPr>
              <w:color w:val="auto"/>
            </w:rPr>
            <w:fldChar w:fldCharType="begin"/>
          </w:r>
          <w:r>
            <w:rPr>
              <w:color w:val="auto"/>
            </w:rPr>
            <w:instrText xml:space="preserve"> PAGEREF _Toc20351 </w:instrText>
          </w:r>
          <w:r>
            <w:rPr>
              <w:color w:val="auto"/>
            </w:rPr>
            <w:fldChar w:fldCharType="separate"/>
          </w:r>
          <w:r>
            <w:rPr>
              <w:color w:val="auto"/>
            </w:rPr>
            <w:t>5</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_Toc19650 </w:instrText>
          </w:r>
          <w:r>
            <w:rPr>
              <w:rFonts w:hint="eastAsia"/>
              <w:color w:val="auto"/>
            </w:rPr>
            <w:fldChar w:fldCharType="separate"/>
          </w:r>
          <w:r>
            <w:rPr>
              <w:rFonts w:hint="eastAsia"/>
              <w:color w:val="auto"/>
              <w:lang w:val="en-US" w:eastAsia="zh-CN"/>
            </w:rPr>
            <w:t>5、质保期及权利和义务</w:t>
          </w:r>
          <w:r>
            <w:rPr>
              <w:color w:val="auto"/>
            </w:rPr>
            <w:tab/>
          </w:r>
          <w:r>
            <w:rPr>
              <w:color w:val="auto"/>
            </w:rPr>
            <w:fldChar w:fldCharType="begin"/>
          </w:r>
          <w:r>
            <w:rPr>
              <w:color w:val="auto"/>
            </w:rPr>
            <w:instrText xml:space="preserve"> PAGEREF _Toc19650 </w:instrText>
          </w:r>
          <w:r>
            <w:rPr>
              <w:color w:val="auto"/>
            </w:rPr>
            <w:fldChar w:fldCharType="separate"/>
          </w:r>
          <w:r>
            <w:rPr>
              <w:color w:val="auto"/>
            </w:rPr>
            <w:t>12</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_Toc29778 </w:instrText>
          </w:r>
          <w:r>
            <w:rPr>
              <w:rFonts w:hint="eastAsia"/>
              <w:color w:val="auto"/>
            </w:rPr>
            <w:fldChar w:fldCharType="separate"/>
          </w:r>
          <w:r>
            <w:rPr>
              <w:rFonts w:hint="eastAsia"/>
              <w:color w:val="auto"/>
              <w:lang w:val="en-US" w:eastAsia="zh-CN"/>
            </w:rPr>
            <w:t>6、售后服务</w:t>
          </w:r>
          <w:r>
            <w:rPr>
              <w:color w:val="auto"/>
            </w:rPr>
            <w:tab/>
          </w:r>
          <w:r>
            <w:rPr>
              <w:color w:val="auto"/>
            </w:rPr>
            <w:fldChar w:fldCharType="begin"/>
          </w:r>
          <w:r>
            <w:rPr>
              <w:color w:val="auto"/>
            </w:rPr>
            <w:instrText xml:space="preserve"> PAGEREF _Toc29778 </w:instrText>
          </w:r>
          <w:r>
            <w:rPr>
              <w:color w:val="auto"/>
            </w:rPr>
            <w:fldChar w:fldCharType="separate"/>
          </w:r>
          <w:r>
            <w:rPr>
              <w:color w:val="auto"/>
            </w:rPr>
            <w:t>12</w:t>
          </w:r>
          <w:r>
            <w:rPr>
              <w:color w:val="auto"/>
            </w:rPr>
            <w:fldChar w:fldCharType="end"/>
          </w:r>
          <w:r>
            <w:rPr>
              <w:rFonts w:hint="eastAsia"/>
              <w:color w:val="auto"/>
            </w:rPr>
            <w:fldChar w:fldCharType="end"/>
          </w:r>
        </w:p>
        <w:p>
          <w:pPr>
            <w:pStyle w:val="5"/>
            <w:tabs>
              <w:tab w:val="right" w:leader="dot" w:pos="8306"/>
              <w:tab w:val="clear" w:pos="1260"/>
              <w:tab w:val="clear" w:pos="8040"/>
            </w:tabs>
            <w:rPr>
              <w:color w:val="auto"/>
            </w:rPr>
          </w:pPr>
          <w:r>
            <w:rPr>
              <w:rFonts w:hint="eastAsia"/>
              <w:color w:val="auto"/>
            </w:rPr>
            <w:fldChar w:fldCharType="begin"/>
          </w:r>
          <w:r>
            <w:rPr>
              <w:rFonts w:hint="eastAsia"/>
              <w:color w:val="auto"/>
            </w:rPr>
            <w:instrText xml:space="preserve"> HYPERLINK \l _Toc5255 </w:instrText>
          </w:r>
          <w:r>
            <w:rPr>
              <w:rFonts w:hint="eastAsia"/>
              <w:color w:val="auto"/>
            </w:rPr>
            <w:fldChar w:fldCharType="separate"/>
          </w:r>
          <w:r>
            <w:rPr>
              <w:rFonts w:hint="eastAsia" w:ascii="宋体" w:hAnsi="宋体" w:cs="宋体"/>
              <w:color w:val="auto"/>
              <w:szCs w:val="28"/>
              <w:highlight w:val="none"/>
              <w:lang w:val="en-US" w:eastAsia="zh-CN"/>
            </w:rPr>
            <w:t>7</w:t>
          </w:r>
          <w:r>
            <w:rPr>
              <w:rFonts w:hint="eastAsia" w:ascii="宋体" w:hAnsi="宋体" w:eastAsia="宋体" w:cs="宋体"/>
              <w:color w:val="auto"/>
              <w:szCs w:val="28"/>
              <w:highlight w:val="none"/>
              <w:lang w:val="en-US" w:eastAsia="zh-CN"/>
            </w:rPr>
            <w:t>、供货周期要求</w:t>
          </w:r>
          <w:r>
            <w:rPr>
              <w:color w:val="auto"/>
            </w:rPr>
            <w:tab/>
          </w:r>
          <w:r>
            <w:rPr>
              <w:color w:val="auto"/>
            </w:rPr>
            <w:fldChar w:fldCharType="begin"/>
          </w:r>
          <w:r>
            <w:rPr>
              <w:color w:val="auto"/>
            </w:rPr>
            <w:instrText xml:space="preserve"> PAGEREF _Toc5255 </w:instrText>
          </w:r>
          <w:r>
            <w:rPr>
              <w:color w:val="auto"/>
            </w:rPr>
            <w:fldChar w:fldCharType="separate"/>
          </w:r>
          <w:r>
            <w:rPr>
              <w:color w:val="auto"/>
            </w:rPr>
            <w:t>13</w:t>
          </w:r>
          <w:r>
            <w:rPr>
              <w:color w:val="auto"/>
            </w:rPr>
            <w:fldChar w:fldCharType="end"/>
          </w:r>
          <w:r>
            <w:rPr>
              <w:rFonts w:hint="eastAsia"/>
              <w:color w:val="auto"/>
            </w:rPr>
            <w:fldChar w:fldCharType="end"/>
          </w:r>
        </w:p>
        <w:p>
          <w:pPr>
            <w:pStyle w:val="5"/>
            <w:bidi w:val="0"/>
            <w:outlineLvl w:val="9"/>
            <w:rPr>
              <w:rFonts w:hint="eastAsia"/>
              <w:color w:val="auto"/>
            </w:rPr>
          </w:pPr>
          <w:r>
            <w:rPr>
              <w:rFonts w:hint="eastAsia"/>
              <w:color w:val="auto"/>
            </w:rPr>
            <w:fldChar w:fldCharType="end"/>
          </w:r>
        </w:p>
      </w:sdtContent>
    </w:sdt>
    <w:p>
      <w:pPr>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p>
    <w:p>
      <w:pPr>
        <w:tabs>
          <w:tab w:val="left" w:pos="0"/>
          <w:tab w:val="left" w:pos="425"/>
        </w:tabs>
        <w:bidi w:val="0"/>
        <w:outlineLvl w:val="9"/>
        <w:rPr>
          <w:rFonts w:hint="eastAsia"/>
          <w:color w:val="auto"/>
        </w:rPr>
      </w:pPr>
      <w:bookmarkStart w:id="1" w:name="_Toc1066769867"/>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tabs>
          <w:tab w:val="left" w:pos="0"/>
          <w:tab w:val="left" w:pos="425"/>
        </w:tabs>
        <w:bidi w:val="0"/>
        <w:outlineLvl w:val="9"/>
        <w:rPr>
          <w:rFonts w:hint="eastAsia"/>
          <w:color w:val="auto"/>
        </w:rPr>
      </w:pPr>
    </w:p>
    <w:p>
      <w:pPr>
        <w:pStyle w:val="2"/>
        <w:bidi w:val="0"/>
        <w:rPr>
          <w:rFonts w:hint="eastAsia"/>
          <w:color w:val="auto"/>
        </w:rPr>
      </w:pPr>
      <w:bookmarkStart w:id="2" w:name="_Toc28583"/>
      <w:r>
        <w:rPr>
          <w:rFonts w:hint="eastAsia"/>
          <w:color w:val="auto"/>
        </w:rPr>
        <w:t>1</w:t>
      </w:r>
      <w:r>
        <w:rPr>
          <w:rFonts w:hint="eastAsia"/>
          <w:color w:val="auto"/>
          <w:lang w:eastAsia="zh-CN"/>
        </w:rPr>
        <w:t>、</w:t>
      </w:r>
      <w:r>
        <w:rPr>
          <w:rFonts w:hint="eastAsia"/>
          <w:color w:val="auto"/>
        </w:rPr>
        <w:t>总则</w:t>
      </w:r>
      <w:bookmarkEnd w:id="1"/>
      <w:bookmarkEnd w:id="2"/>
    </w:p>
    <w:p>
      <w:pPr>
        <w:keepNext w:val="0"/>
        <w:keepLines w:val="0"/>
        <w:pageBreakBefore w:val="0"/>
        <w:widowControl/>
        <w:tabs>
          <w:tab w:val="left" w:pos="56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lang w:val="en-US" w:eastAsia="zh-CN" w:bidi="ar"/>
        </w:rPr>
        <w:t>.1本招标技术条件适用于靖西市锰矿有限责任公司</w:t>
      </w:r>
      <w:r>
        <w:rPr>
          <w:rFonts w:hint="eastAsia" w:ascii="宋体" w:hAnsi="宋体" w:cs="宋体"/>
          <w:color w:val="auto"/>
          <w:sz w:val="24"/>
          <w:szCs w:val="24"/>
          <w:lang w:val="en-US" w:eastAsia="zh-CN" w:bidi="ar"/>
        </w:rPr>
        <w:t>剥离机备品备件</w:t>
      </w:r>
      <w:r>
        <w:rPr>
          <w:rFonts w:hint="eastAsia" w:ascii="宋体" w:hAnsi="宋体" w:eastAsia="宋体" w:cs="宋体"/>
          <w:color w:val="auto"/>
          <w:sz w:val="24"/>
          <w:szCs w:val="24"/>
          <w:lang w:val="en-US" w:eastAsia="zh-CN" w:bidi="ar"/>
        </w:rPr>
        <w:t>采购</w:t>
      </w:r>
      <w:r>
        <w:rPr>
          <w:rFonts w:hint="eastAsia" w:ascii="宋体" w:hAnsi="宋体" w:cs="宋体"/>
          <w:color w:val="auto"/>
          <w:sz w:val="24"/>
          <w:szCs w:val="24"/>
          <w:lang w:val="en-US" w:eastAsia="zh-CN" w:bidi="ar"/>
        </w:rPr>
        <w:t>招标</w:t>
      </w:r>
      <w:r>
        <w:rPr>
          <w:rFonts w:hint="eastAsia" w:ascii="宋体" w:hAnsi="宋体" w:eastAsia="宋体" w:cs="宋体"/>
          <w:color w:val="auto"/>
          <w:sz w:val="24"/>
          <w:szCs w:val="24"/>
          <w:lang w:val="en-US" w:eastAsia="zh-CN" w:bidi="ar"/>
        </w:rPr>
        <w:t>，它包括了</w:t>
      </w:r>
      <w:r>
        <w:rPr>
          <w:rFonts w:hint="eastAsia" w:ascii="宋体" w:hAnsi="宋体" w:cs="宋体"/>
          <w:color w:val="auto"/>
          <w:sz w:val="24"/>
          <w:szCs w:val="24"/>
          <w:lang w:val="en-US" w:eastAsia="zh-CN" w:bidi="ar"/>
        </w:rPr>
        <w:t>剥离机备品备件</w:t>
      </w:r>
      <w:r>
        <w:rPr>
          <w:rFonts w:hint="eastAsia" w:ascii="宋体" w:hAnsi="宋体" w:eastAsia="宋体" w:cs="宋体"/>
          <w:color w:val="auto"/>
          <w:sz w:val="24"/>
          <w:szCs w:val="24"/>
          <w:lang w:val="en-US" w:eastAsia="zh-CN" w:bidi="ar"/>
        </w:rPr>
        <w:t>的</w:t>
      </w:r>
      <w:r>
        <w:rPr>
          <w:rFonts w:hint="eastAsia" w:ascii="宋体" w:hAnsi="宋体" w:cs="宋体"/>
          <w:color w:val="auto"/>
          <w:sz w:val="24"/>
          <w:szCs w:val="24"/>
          <w:lang w:val="en-US" w:eastAsia="zh-CN" w:bidi="ar"/>
        </w:rPr>
        <w:t>型号及规格尺寸、</w:t>
      </w:r>
      <w:r>
        <w:rPr>
          <w:rFonts w:hint="eastAsia" w:ascii="宋体" w:hAnsi="宋体" w:eastAsia="宋体" w:cs="宋体"/>
          <w:color w:val="auto"/>
          <w:sz w:val="24"/>
          <w:szCs w:val="24"/>
          <w:lang w:val="en-US" w:eastAsia="zh-CN" w:bidi="ar"/>
        </w:rPr>
        <w:t>包装、运输、指导安装和试验(调试)、验收直至最终交付使用等方面服务的招标技术条件。</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1.2投标方应按照招标方要求的时间、内容深度提供所需要的设计、施工文件及资料等，并按照工程进度要求随时修正。在签订合同之后到投标方开始制造、安装之日的时间段内，招标方有权提出因标准、规程和规</w:t>
      </w:r>
      <w:r>
        <w:rPr>
          <w:rFonts w:hint="eastAsia" w:ascii="宋体" w:hAnsi="宋体" w:cs="宋体"/>
          <w:color w:val="auto"/>
          <w:sz w:val="24"/>
          <w:szCs w:val="24"/>
          <w:lang w:val="en-US" w:eastAsia="zh-CN" w:bidi="ar"/>
        </w:rPr>
        <w:t>格</w:t>
      </w:r>
      <w:r>
        <w:rPr>
          <w:rFonts w:hint="eastAsia" w:ascii="宋体" w:hAnsi="宋体" w:eastAsia="宋体" w:cs="宋体"/>
          <w:color w:val="auto"/>
          <w:sz w:val="24"/>
          <w:szCs w:val="24"/>
          <w:lang w:bidi="ar"/>
        </w:rPr>
        <w:t>发生变化而产生的一些补充和修改要求，导致合同</w:t>
      </w:r>
      <w:r>
        <w:rPr>
          <w:rFonts w:hint="eastAsia" w:ascii="宋体" w:hAnsi="宋体" w:cs="宋体"/>
          <w:color w:val="auto"/>
          <w:sz w:val="24"/>
          <w:szCs w:val="24"/>
          <w:lang w:val="en-US" w:eastAsia="zh-CN" w:bidi="ar"/>
        </w:rPr>
        <w:t>材料采购</w:t>
      </w:r>
      <w:r>
        <w:rPr>
          <w:rFonts w:hint="eastAsia" w:ascii="宋体" w:hAnsi="宋体" w:eastAsia="宋体" w:cs="宋体"/>
          <w:color w:val="auto"/>
          <w:sz w:val="24"/>
          <w:szCs w:val="24"/>
          <w:lang w:bidi="ar"/>
        </w:rPr>
        <w:t>有局部较小调整，投标方必须负责局部的调整，并保证设备总价不变。</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3</w:t>
      </w:r>
      <w:r>
        <w:rPr>
          <w:rFonts w:hint="eastAsia" w:ascii="宋体" w:hAnsi="宋体" w:eastAsia="宋体" w:cs="宋体"/>
          <w:color w:val="auto"/>
          <w:sz w:val="24"/>
          <w:szCs w:val="24"/>
          <w:lang w:bidi="ar"/>
        </w:rPr>
        <w:t>投标方有责任对本技术条件中的技术条款提出补充。如果投标方没有以书面形式对本招标技术文件的条文提出异议，则意味着投标方提供的</w:t>
      </w:r>
      <w:r>
        <w:rPr>
          <w:rFonts w:hint="eastAsia" w:ascii="宋体" w:hAnsi="宋体" w:cs="宋体"/>
          <w:color w:val="auto"/>
          <w:sz w:val="24"/>
          <w:szCs w:val="24"/>
          <w:lang w:val="en-US" w:eastAsia="zh-CN" w:bidi="ar"/>
        </w:rPr>
        <w:t>五金材料</w:t>
      </w:r>
      <w:r>
        <w:rPr>
          <w:rFonts w:hint="eastAsia" w:ascii="宋体" w:hAnsi="宋体" w:eastAsia="宋体" w:cs="宋体"/>
          <w:color w:val="auto"/>
          <w:sz w:val="24"/>
          <w:szCs w:val="24"/>
          <w:lang w:bidi="ar"/>
        </w:rPr>
        <w:t>完全符合本招标技术文件的要求。如有异议，不管是多么微小，都应在投标文件中差异表中以“对招标技术文件的意见和同招标技术文件的差异”为标题的专门章节中加以详细描述。投标方应在投标技术部分按本招标技术文件的要求如实详细的填写应标</w:t>
      </w:r>
      <w:r>
        <w:rPr>
          <w:rFonts w:hint="eastAsia" w:ascii="宋体" w:hAnsi="宋体" w:cs="宋体"/>
          <w:color w:val="auto"/>
          <w:sz w:val="24"/>
          <w:szCs w:val="24"/>
          <w:lang w:val="en-US" w:eastAsia="zh-CN" w:bidi="ar"/>
        </w:rPr>
        <w:t>材料</w:t>
      </w:r>
      <w:r>
        <w:rPr>
          <w:rFonts w:hint="eastAsia" w:ascii="宋体" w:hAnsi="宋体" w:eastAsia="宋体" w:cs="宋体"/>
          <w:color w:val="auto"/>
          <w:sz w:val="24"/>
          <w:szCs w:val="24"/>
          <w:lang w:bidi="ar"/>
        </w:rPr>
        <w:t>的标准配置表，并在投标商务部分按此标准配置进行报价，如发现二者有矛盾之处，将按有利于招标人条款执行。若在安装运行中发现不能满足规定的技术条款工作需要时，由投标方负责补齐且不得增加费用。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4</w:t>
      </w:r>
      <w:r>
        <w:rPr>
          <w:rFonts w:hint="eastAsia" w:ascii="宋体" w:hAnsi="宋体" w:eastAsia="宋体" w:cs="宋体"/>
          <w:color w:val="auto"/>
          <w:sz w:val="24"/>
          <w:szCs w:val="24"/>
          <w:lang w:bidi="ar"/>
        </w:rPr>
        <w:t>投标方提供的</w:t>
      </w:r>
      <w:r>
        <w:rPr>
          <w:rFonts w:hint="eastAsia" w:ascii="宋体" w:hAnsi="宋体" w:cs="宋体"/>
          <w:color w:val="auto"/>
          <w:sz w:val="24"/>
          <w:szCs w:val="24"/>
          <w:lang w:val="en-US" w:eastAsia="zh-CN" w:bidi="ar"/>
        </w:rPr>
        <w:t>剥离机备品备件</w:t>
      </w:r>
      <w:r>
        <w:rPr>
          <w:rFonts w:hint="eastAsia" w:ascii="宋体" w:hAnsi="宋体" w:eastAsia="宋体" w:cs="宋体"/>
          <w:color w:val="auto"/>
          <w:sz w:val="24"/>
          <w:szCs w:val="24"/>
          <w:lang w:bidi="ar"/>
        </w:rPr>
        <w:t>必须是完全符合本招标技术条件的、全新的产品，可长期安全稳定使用，投标方需对所提供产品的质量完全负责；并保证供货的完整性，满足安全、稳定运行要求。在现场安装、调试、试运行、生产过程中，如因设计缺陷、产品质量等原因造成安全事故，投标方全部承担由此造成的损失和后果，招标方不承担任何责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5</w:t>
      </w:r>
      <w:r>
        <w:rPr>
          <w:rFonts w:hint="eastAsia" w:ascii="宋体" w:hAnsi="宋体" w:eastAsia="宋体" w:cs="宋体"/>
          <w:color w:val="auto"/>
          <w:sz w:val="24"/>
          <w:szCs w:val="24"/>
          <w:lang w:bidi="ar"/>
        </w:rPr>
        <w:t>投标方有责任对本招标技术条件中的技术条款提出补充。若在安装运行中发现缺项或不能满足规定的技术条款工作需要时，由投标方负责补齐且不得增加费用。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6</w:t>
      </w:r>
      <w:r>
        <w:rPr>
          <w:rFonts w:hint="eastAsia" w:ascii="宋体" w:hAnsi="宋体" w:eastAsia="宋体" w:cs="宋体"/>
          <w:color w:val="auto"/>
          <w:sz w:val="24"/>
          <w:szCs w:val="24"/>
          <w:lang w:bidi="ar"/>
        </w:rPr>
        <w:t>投标方应对所提供的</w:t>
      </w:r>
      <w:r>
        <w:rPr>
          <w:rFonts w:hint="eastAsia" w:ascii="宋体" w:hAnsi="宋体" w:cs="宋体"/>
          <w:color w:val="auto"/>
          <w:sz w:val="24"/>
          <w:szCs w:val="24"/>
          <w:lang w:val="en-US" w:eastAsia="zh-CN" w:bidi="ar"/>
        </w:rPr>
        <w:t>剥离机备品备件</w:t>
      </w:r>
      <w:r>
        <w:rPr>
          <w:rFonts w:hint="eastAsia" w:ascii="宋体" w:hAnsi="宋体" w:eastAsia="宋体" w:cs="宋体"/>
          <w:color w:val="auto"/>
          <w:sz w:val="24"/>
          <w:szCs w:val="24"/>
          <w:lang w:bidi="ar"/>
        </w:rPr>
        <w:t>质量负责，所提供的产品应完全符合本招标技术条件的要求，并有生产许可证及产品检验合格证，严禁采用市场临近淘汰或国家公布的淘汰产品，若提供的产品不符合本招标技术条件的要求或为假冒伪劣产品，除了按要求更换合格的产品外，还应按两倍于产品原价的价格进行赔偿，招标方保留因伪劣产品造成重大损失而追究法律责任的权利。</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7</w:t>
      </w:r>
      <w:r>
        <w:rPr>
          <w:rFonts w:hint="eastAsia" w:ascii="宋体" w:hAnsi="宋体" w:eastAsia="宋体" w:cs="宋体"/>
          <w:color w:val="auto"/>
          <w:sz w:val="24"/>
          <w:szCs w:val="24"/>
          <w:lang w:bidi="ar"/>
        </w:rPr>
        <w:t>今后发生的一切书面协议,若与本协议有冲突,以时间最新并具有合同效力的为准。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r>
        <w:rPr>
          <w:rFonts w:hint="eastAsia" w:ascii="宋体" w:hAnsi="宋体" w:cs="宋体"/>
          <w:color w:val="auto"/>
          <w:sz w:val="24"/>
          <w:szCs w:val="24"/>
          <w:lang w:val="en-US" w:eastAsia="zh-CN" w:bidi="ar"/>
        </w:rPr>
        <w:t>8</w:t>
      </w:r>
      <w:r>
        <w:rPr>
          <w:rFonts w:hint="eastAsia" w:ascii="宋体" w:hAnsi="宋体" w:eastAsia="宋体" w:cs="宋体"/>
          <w:color w:val="auto"/>
          <w:sz w:val="24"/>
          <w:szCs w:val="24"/>
          <w:lang w:bidi="ar"/>
        </w:rPr>
        <w:t xml:space="preserve"> 本技术条件由投标方负责设计、制作、供货、运输、指导安装、调试、验收、培训直至最终交付使用。对于投标方未做分项报价内容根据技术条件需要的，视同已包含在已报价设备内。投标方所做报价设备视同满足本技术条件除技术偏离表格内容之外一切要求。</w:t>
      </w:r>
    </w:p>
    <w:p>
      <w:pPr>
        <w:pStyle w:val="2"/>
        <w:numPr>
          <w:ilvl w:val="0"/>
          <w:numId w:val="0"/>
        </w:numPr>
        <w:bidi w:val="0"/>
        <w:ind w:leftChars="0"/>
        <w:outlineLvl w:val="0"/>
        <w:rPr>
          <w:rFonts w:hint="eastAsia"/>
          <w:color w:val="auto"/>
        </w:rPr>
      </w:pPr>
      <w:bookmarkStart w:id="3" w:name="_Toc4109"/>
      <w:r>
        <w:rPr>
          <w:rFonts w:hint="eastAsia"/>
          <w:color w:val="auto"/>
        </w:rPr>
        <w:t>2</w:t>
      </w:r>
      <w:r>
        <w:rPr>
          <w:rFonts w:hint="eastAsia"/>
          <w:color w:val="auto"/>
          <w:lang w:eastAsia="zh-CN"/>
        </w:rPr>
        <w:t>、</w:t>
      </w:r>
      <w:r>
        <w:rPr>
          <w:rFonts w:hint="eastAsia"/>
          <w:color w:val="auto"/>
        </w:rPr>
        <w:t>工程概述</w:t>
      </w:r>
      <w:bookmarkEnd w:id="3"/>
    </w:p>
    <w:p>
      <w:pPr>
        <w:numPr>
          <w:ilvl w:val="0"/>
          <w:numId w:val="0"/>
        </w:numPr>
        <w:tabs>
          <w:tab w:val="left" w:pos="0"/>
          <w:tab w:val="left" w:pos="425"/>
        </w:tabs>
        <w:bidi w:val="0"/>
        <w:ind w:leftChars="0" w:firstLine="480" w:firstLineChars="200"/>
        <w:outlineLvl w:val="9"/>
        <w:rPr>
          <w:rFonts w:hint="eastAsia" w:ascii="宋体" w:hAnsi="宋体" w:eastAsia="宋体" w:cs="宋体"/>
          <w:b w:val="0"/>
          <w:bCs/>
          <w:strike w:val="0"/>
          <w:dstrike w:val="0"/>
          <w:color w:val="auto"/>
          <w:sz w:val="24"/>
          <w:szCs w:val="24"/>
        </w:rPr>
      </w:pPr>
      <w:bookmarkStart w:id="4" w:name="_Toc21755"/>
      <w:bookmarkStart w:id="5" w:name="_Toc24762"/>
      <w:r>
        <w:rPr>
          <w:rFonts w:hint="eastAsia" w:ascii="宋体" w:hAnsi="宋体" w:eastAsia="宋体" w:cs="宋体"/>
          <w:b w:val="0"/>
          <w:bCs/>
          <w:strike w:val="0"/>
          <w:dstrike w:val="0"/>
          <w:color w:val="auto"/>
          <w:sz w:val="24"/>
          <w:szCs w:val="24"/>
        </w:rPr>
        <w:t>2.1 项目名称</w:t>
      </w:r>
      <w:bookmarkEnd w:id="4"/>
      <w:bookmarkEnd w:id="5"/>
    </w:p>
    <w:p>
      <w:pPr>
        <w:keepNext w:val="0"/>
        <w:keepLines w:val="0"/>
        <w:pageBreakBefore w:val="0"/>
        <w:widowControl/>
        <w:kinsoku/>
        <w:wordWrap/>
        <w:overflowPunct/>
        <w:topLinePunct w:val="0"/>
        <w:autoSpaceDE w:val="0"/>
        <w:autoSpaceDN w:val="0"/>
        <w:bidi w:val="0"/>
        <w:spacing w:line="360" w:lineRule="auto"/>
        <w:ind w:firstLine="480" w:firstLineChars="200"/>
        <w:textAlignment w:val="bottom"/>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bidi="ar"/>
        </w:rPr>
        <w:t>靖西市矿锰矿有限责任公司</w:t>
      </w:r>
      <w:r>
        <w:rPr>
          <w:rFonts w:hint="eastAsia" w:ascii="宋体" w:hAnsi="宋体" w:cs="宋体"/>
          <w:strike w:val="0"/>
          <w:dstrike w:val="0"/>
          <w:color w:val="auto"/>
          <w:sz w:val="24"/>
          <w:szCs w:val="24"/>
          <w:lang w:val="en-US" w:eastAsia="zh-CN" w:bidi="ar"/>
        </w:rPr>
        <w:t>剥离机备品备件</w:t>
      </w:r>
      <w:r>
        <w:rPr>
          <w:rFonts w:hint="eastAsia" w:ascii="宋体" w:hAnsi="宋体" w:eastAsia="宋体" w:cs="宋体"/>
          <w:strike w:val="0"/>
          <w:dstrike w:val="0"/>
          <w:color w:val="auto"/>
          <w:sz w:val="24"/>
          <w:szCs w:val="24"/>
          <w:lang w:val="en-US" w:eastAsia="zh-CN" w:bidi="ar"/>
        </w:rPr>
        <w:t>采购项目。</w:t>
      </w:r>
    </w:p>
    <w:p>
      <w:pPr>
        <w:keepNext w:val="0"/>
        <w:keepLines w:val="0"/>
        <w:pageBreakBefore w:val="0"/>
        <w:widowControl/>
        <w:kinsoku/>
        <w:wordWrap/>
        <w:overflowPunct/>
        <w:topLinePunct w:val="0"/>
        <w:autoSpaceDE w:val="0"/>
        <w:autoSpaceDN w:val="0"/>
        <w:bidi w:val="0"/>
        <w:spacing w:line="360" w:lineRule="auto"/>
        <w:ind w:firstLine="480" w:firstLineChars="200"/>
        <w:textAlignment w:val="bottom"/>
        <w:outlineLvl w:val="9"/>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bidi="ar"/>
        </w:rPr>
        <w:t>2.</w:t>
      </w:r>
      <w:r>
        <w:rPr>
          <w:rFonts w:hint="eastAsia" w:ascii="宋体" w:hAnsi="宋体" w:cs="宋体"/>
          <w:strike w:val="0"/>
          <w:dstrike w:val="0"/>
          <w:color w:val="auto"/>
          <w:sz w:val="24"/>
          <w:szCs w:val="24"/>
          <w:lang w:val="en-US" w:eastAsia="zh-CN" w:bidi="ar"/>
        </w:rPr>
        <w:t>2</w:t>
      </w:r>
      <w:r>
        <w:rPr>
          <w:rFonts w:hint="eastAsia" w:ascii="宋体" w:hAnsi="宋体" w:eastAsia="宋体" w:cs="宋体"/>
          <w:strike w:val="0"/>
          <w:dstrike w:val="0"/>
          <w:color w:val="auto"/>
          <w:sz w:val="24"/>
          <w:szCs w:val="24"/>
          <w:lang w:eastAsia="zh-CN" w:bidi="ar"/>
        </w:rPr>
        <w:t>招标方</w:t>
      </w:r>
    </w:p>
    <w:p>
      <w:pPr>
        <w:keepNext w:val="0"/>
        <w:keepLines w:val="0"/>
        <w:pageBreakBefore w:val="0"/>
        <w:widowControl/>
        <w:kinsoku/>
        <w:wordWrap/>
        <w:overflowPunct/>
        <w:topLinePunct w:val="0"/>
        <w:autoSpaceDE w:val="0"/>
        <w:autoSpaceDN w:val="0"/>
        <w:bidi w:val="0"/>
        <w:spacing w:line="360" w:lineRule="auto"/>
        <w:ind w:firstLine="480" w:firstLineChars="200"/>
        <w:textAlignment w:val="bottom"/>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bidi="ar"/>
        </w:rPr>
        <w:t>靖西市矿锰矿有限责任公司。</w:t>
      </w:r>
    </w:p>
    <w:p>
      <w:pPr>
        <w:pStyle w:val="2"/>
        <w:numPr>
          <w:ilvl w:val="0"/>
          <w:numId w:val="0"/>
        </w:numPr>
        <w:bidi w:val="0"/>
        <w:ind w:leftChars="0"/>
        <w:outlineLvl w:val="0"/>
        <w:rPr>
          <w:rFonts w:hint="eastAsia"/>
          <w:strike w:val="0"/>
          <w:dstrike w:val="0"/>
          <w:color w:val="auto"/>
        </w:rPr>
      </w:pPr>
      <w:bookmarkStart w:id="6" w:name="_Toc8161"/>
      <w:bookmarkStart w:id="7" w:name="_Toc1765021977"/>
      <w:r>
        <w:rPr>
          <w:rFonts w:hint="eastAsia"/>
          <w:strike w:val="0"/>
          <w:dstrike w:val="0"/>
          <w:color w:val="auto"/>
        </w:rPr>
        <w:t>3</w:t>
      </w:r>
      <w:r>
        <w:rPr>
          <w:rFonts w:hint="eastAsia"/>
          <w:strike w:val="0"/>
          <w:dstrike w:val="0"/>
          <w:color w:val="auto"/>
          <w:lang w:eastAsia="zh-CN"/>
        </w:rPr>
        <w:t>、</w:t>
      </w:r>
      <w:r>
        <w:rPr>
          <w:rFonts w:hint="eastAsia"/>
          <w:strike w:val="0"/>
          <w:dstrike w:val="0"/>
          <w:color w:val="auto"/>
        </w:rPr>
        <w:t>设计和运行条件</w:t>
      </w:r>
      <w:bookmarkEnd w:id="6"/>
      <w:bookmarkEnd w:id="7"/>
    </w:p>
    <w:p>
      <w:pPr>
        <w:pStyle w:val="6"/>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strike w:val="0"/>
          <w:dstrike w:val="0"/>
          <w:color w:val="auto"/>
          <w:sz w:val="24"/>
          <w:szCs w:val="24"/>
        </w:rPr>
      </w:pPr>
      <w:bookmarkStart w:id="8" w:name="_Toc517250331"/>
      <w:bookmarkStart w:id="9" w:name="_Toc517250353"/>
      <w:r>
        <w:rPr>
          <w:rFonts w:hint="eastAsia" w:ascii="宋体" w:hAnsi="宋体" w:eastAsia="宋体" w:cs="宋体"/>
          <w:strike w:val="0"/>
          <w:dstrike w:val="0"/>
          <w:color w:val="auto"/>
          <w:sz w:val="24"/>
          <w:szCs w:val="24"/>
        </w:rPr>
        <w:t>3.1厂址和用地</w:t>
      </w:r>
      <w:bookmarkEnd w:id="8"/>
      <w:bookmarkEnd w:id="9"/>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项目厂址位于广西靖西市湖润镇新兴街</w:t>
      </w:r>
      <w:r>
        <w:rPr>
          <w:rFonts w:hint="eastAsia" w:ascii="宋体" w:hAnsi="宋体" w:eastAsia="宋体" w:cs="宋体"/>
          <w:strike w:val="0"/>
          <w:dstrike w:val="0"/>
          <w:color w:val="auto"/>
          <w:sz w:val="24"/>
          <w:szCs w:val="24"/>
          <w:lang w:bidi="ar"/>
        </w:rPr>
        <w:t>靖西市矿锰矿有限责任公司</w:t>
      </w:r>
      <w:r>
        <w:rPr>
          <w:rFonts w:hint="eastAsia" w:ascii="宋体" w:hAnsi="宋体" w:eastAsia="宋体" w:cs="宋体"/>
          <w:strike w:val="0"/>
          <w:dstrike w:val="0"/>
          <w:color w:val="auto"/>
          <w:sz w:val="24"/>
          <w:szCs w:val="24"/>
        </w:rPr>
        <w:t>厂区内。</w:t>
      </w:r>
    </w:p>
    <w:p>
      <w:pPr>
        <w:pStyle w:val="6"/>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strike w:val="0"/>
          <w:dstrike w:val="0"/>
          <w:color w:val="auto"/>
          <w:sz w:val="24"/>
          <w:szCs w:val="24"/>
        </w:rPr>
      </w:pPr>
      <w:bookmarkStart w:id="10" w:name="_Toc517250354"/>
      <w:bookmarkStart w:id="11" w:name="_Toc517250332"/>
      <w:r>
        <w:rPr>
          <w:rFonts w:hint="eastAsia" w:ascii="宋体" w:hAnsi="宋体" w:eastAsia="宋体" w:cs="宋体"/>
          <w:strike w:val="0"/>
          <w:dstrike w:val="0"/>
          <w:color w:val="auto"/>
          <w:sz w:val="24"/>
          <w:szCs w:val="24"/>
        </w:rPr>
        <w:t>3.2交通运输条件</w:t>
      </w:r>
      <w:bookmarkEnd w:id="10"/>
      <w:bookmarkEnd w:id="11"/>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厂址所在区内各项基础设施建设完善，现场基础满足设备技术安装要求。区内主干道及配套道路完备，区内建设条件优良，内外交通方便。</w:t>
      </w:r>
    </w:p>
    <w:p>
      <w:pPr>
        <w:pStyle w:val="6"/>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strike w:val="0"/>
          <w:dstrike w:val="0"/>
          <w:color w:val="auto"/>
          <w:sz w:val="24"/>
          <w:szCs w:val="24"/>
        </w:rPr>
      </w:pPr>
      <w:bookmarkStart w:id="12" w:name="_Toc517250355"/>
      <w:bookmarkStart w:id="13" w:name="_Toc517250333"/>
      <w:r>
        <w:rPr>
          <w:rFonts w:hint="eastAsia" w:ascii="宋体" w:hAnsi="宋体" w:eastAsia="宋体" w:cs="宋体"/>
          <w:strike w:val="0"/>
          <w:dstrike w:val="0"/>
          <w:color w:val="auto"/>
          <w:sz w:val="24"/>
          <w:szCs w:val="24"/>
        </w:rPr>
        <w:t>3.3气象条件</w:t>
      </w:r>
      <w:bookmarkEnd w:id="12"/>
      <w:bookmarkEnd w:id="13"/>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本项目建设地在广西靖西市，为亚热带季风气候，其特点是：年日照1600小时，雨量1200毫米以上,平均气温20.8-22.4度。其主要气象要素如下：</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3.3.1</w:t>
      </w:r>
      <w:r>
        <w:rPr>
          <w:rFonts w:hint="eastAsia" w:ascii="宋体" w:hAnsi="宋体" w:eastAsia="宋体" w:cs="宋体"/>
          <w:strike w:val="0"/>
          <w:dstrike w:val="0"/>
          <w:color w:val="auto"/>
          <w:sz w:val="24"/>
          <w:szCs w:val="24"/>
        </w:rPr>
        <w:t>气温</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年平均气温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20.8-22.4 ℃</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最高气温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39.5℃</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最冷气温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1℃</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极端最高气温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 xml:space="preserve">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42.6℃</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3.3.2</w:t>
      </w:r>
      <w:r>
        <w:rPr>
          <w:rFonts w:hint="eastAsia" w:ascii="宋体" w:hAnsi="宋体" w:eastAsia="宋体" w:cs="宋体"/>
          <w:strike w:val="0"/>
          <w:dstrike w:val="0"/>
          <w:color w:val="auto"/>
          <w:sz w:val="24"/>
          <w:szCs w:val="24"/>
        </w:rPr>
        <w:t>空气湿度65%-90%</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3.3.3</w:t>
      </w:r>
      <w:r>
        <w:rPr>
          <w:rFonts w:hint="eastAsia" w:ascii="宋体" w:hAnsi="宋体" w:eastAsia="宋体" w:cs="宋体"/>
          <w:strike w:val="0"/>
          <w:dstrike w:val="0"/>
          <w:color w:val="auto"/>
          <w:sz w:val="24"/>
          <w:szCs w:val="24"/>
        </w:rPr>
        <w:t>大气压力</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年平均气压                            101.09kPa</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3.3.4</w:t>
      </w:r>
      <w:r>
        <w:rPr>
          <w:rFonts w:hint="eastAsia" w:ascii="宋体" w:hAnsi="宋体" w:eastAsia="宋体" w:cs="宋体"/>
          <w:strike w:val="0"/>
          <w:dstrike w:val="0"/>
          <w:color w:val="auto"/>
          <w:sz w:val="24"/>
          <w:szCs w:val="24"/>
        </w:rPr>
        <w:t>降雨量</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年平均降雨量                          1200mm</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3.3.5</w:t>
      </w:r>
      <w:r>
        <w:rPr>
          <w:rFonts w:hint="eastAsia" w:ascii="宋体" w:hAnsi="宋体" w:eastAsia="宋体" w:cs="宋体"/>
          <w:strike w:val="0"/>
          <w:dstrike w:val="0"/>
          <w:color w:val="auto"/>
          <w:sz w:val="24"/>
          <w:szCs w:val="24"/>
        </w:rPr>
        <w:t>风</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瞬时最大风速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40m/s（地面以上10m处）</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风荷载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0.40kPa（地面以上10m处）</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年平均风速                            2.9m/s</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年主导风向                            SSW</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夏季主导风向                          S-SSW</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冬季主导风向                          SSW</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cs="宋体"/>
          <w:strike w:val="0"/>
          <w:dstrike w:val="0"/>
          <w:color w:val="auto"/>
          <w:sz w:val="24"/>
          <w:szCs w:val="24"/>
          <w:lang w:val="en-US" w:eastAsia="zh-CN"/>
        </w:rPr>
        <w:t>3.3.6</w:t>
      </w:r>
      <w:r>
        <w:rPr>
          <w:rFonts w:hint="eastAsia" w:ascii="宋体" w:hAnsi="宋体" w:eastAsia="宋体" w:cs="宋体"/>
          <w:strike w:val="0"/>
          <w:dstrike w:val="0"/>
          <w:color w:val="auto"/>
          <w:sz w:val="24"/>
          <w:szCs w:val="24"/>
        </w:rPr>
        <w:t>地震设防烈度                        7度</w:t>
      </w:r>
    </w:p>
    <w:p>
      <w:pPr>
        <w:pStyle w:val="6"/>
        <w:keepNext w:val="0"/>
        <w:keepLines w:val="0"/>
        <w:pageBreakBefore w:val="0"/>
        <w:kinsoku/>
        <w:wordWrap/>
        <w:overflowPunct/>
        <w:topLinePunct w:val="0"/>
        <w:bidi w:val="0"/>
        <w:spacing w:line="360" w:lineRule="auto"/>
        <w:ind w:firstLine="480" w:firstLineChars="200"/>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 xml:space="preserve">海拔高度                           </w:t>
      </w:r>
      <w:r>
        <w:rPr>
          <w:rFonts w:hint="eastAsia" w:ascii="宋体" w:hAnsi="宋体" w:eastAsia="宋体" w:cs="宋体"/>
          <w:strike w:val="0"/>
          <w:dstrike w:val="0"/>
          <w:color w:val="auto"/>
          <w:sz w:val="24"/>
          <w:szCs w:val="24"/>
          <w:lang w:val="en-US" w:eastAsia="zh-CN"/>
        </w:rPr>
        <w:t xml:space="preserve"> </w:t>
      </w:r>
      <w:r>
        <w:rPr>
          <w:rFonts w:hint="eastAsia" w:ascii="宋体" w:hAnsi="宋体" w:eastAsia="宋体" w:cs="宋体"/>
          <w:strike w:val="0"/>
          <w:dstrike w:val="0"/>
          <w:color w:val="auto"/>
          <w:sz w:val="24"/>
          <w:szCs w:val="24"/>
        </w:rPr>
        <w:t>400m</w:t>
      </w:r>
    </w:p>
    <w:p>
      <w:pPr>
        <w:pStyle w:val="2"/>
        <w:numPr>
          <w:ilvl w:val="0"/>
          <w:numId w:val="0"/>
        </w:numPr>
        <w:bidi w:val="0"/>
        <w:ind w:leftChars="-900"/>
        <w:jc w:val="center"/>
        <w:outlineLvl w:val="0"/>
        <w:rPr>
          <w:rFonts w:hint="eastAsia"/>
          <w:color w:val="auto"/>
        </w:rPr>
      </w:pPr>
      <w:bookmarkStart w:id="14" w:name="_Toc20351"/>
      <w:r>
        <w:rPr>
          <w:rFonts w:hint="eastAsia"/>
          <w:color w:val="auto"/>
          <w:lang w:val="en-US" w:eastAsia="zh-CN"/>
        </w:rPr>
        <w:t>4、剥离机备品备件</w:t>
      </w:r>
      <w:r>
        <w:rPr>
          <w:rFonts w:hint="eastAsia"/>
          <w:color w:val="auto"/>
          <w:sz w:val="28"/>
          <w:szCs w:val="28"/>
          <w:lang w:val="en-US" w:eastAsia="zh-CN"/>
        </w:rPr>
        <w:t>供货</w:t>
      </w:r>
      <w:r>
        <w:rPr>
          <w:rFonts w:hint="eastAsia"/>
          <w:color w:val="auto"/>
          <w:lang w:val="en-US" w:eastAsia="zh-CN"/>
        </w:rPr>
        <w:t>范围、质保期及</w:t>
      </w:r>
      <w:r>
        <w:rPr>
          <w:rFonts w:hint="eastAsia"/>
          <w:color w:val="auto"/>
        </w:rPr>
        <w:t>技术要求</w:t>
      </w:r>
      <w:bookmarkEnd w:id="14"/>
    </w:p>
    <w:p>
      <w:pPr>
        <w:keepNext w:val="0"/>
        <w:keepLines w:val="0"/>
        <w:pageBreakBefore w:val="0"/>
        <w:kinsoku/>
        <w:wordWrap/>
        <w:overflowPunct/>
        <w:topLinePunct w:val="0"/>
        <w:bidi w:val="0"/>
        <w:spacing w:line="360" w:lineRule="auto"/>
        <w:outlineLvl w:val="9"/>
        <w:rPr>
          <w:rFonts w:hint="eastAsia"/>
          <w:color w:val="auto"/>
        </w:rPr>
      </w:pPr>
      <w:r>
        <w:rPr>
          <w:rFonts w:hint="eastAsia" w:ascii="宋体" w:hAnsi="宋体" w:eastAsia="宋体" w:cs="宋体"/>
          <w:color w:val="auto"/>
          <w:sz w:val="24"/>
          <w:szCs w:val="24"/>
          <w:lang w:bidi="ar"/>
        </w:rPr>
        <w:t>4.1</w:t>
      </w:r>
      <w:r>
        <w:rPr>
          <w:rFonts w:hint="eastAsia"/>
          <w:color w:val="auto"/>
          <w:sz w:val="22"/>
          <w:szCs w:val="22"/>
          <w:lang w:val="en-US" w:eastAsia="zh-CN"/>
        </w:rPr>
        <w:t>剥离机备品备件供货范围、质保期及</w:t>
      </w:r>
      <w:r>
        <w:rPr>
          <w:rFonts w:hint="eastAsia"/>
          <w:color w:val="auto"/>
          <w:sz w:val="22"/>
          <w:szCs w:val="22"/>
        </w:rPr>
        <w:t>技术要求</w:t>
      </w:r>
      <w:r>
        <w:rPr>
          <w:rFonts w:hint="eastAsia" w:hAnsi="微软雅黑"/>
          <w:color w:val="auto"/>
          <w:sz w:val="22"/>
          <w:szCs w:val="22"/>
        </w:rPr>
        <w:t>详见下方清单</w:t>
      </w:r>
      <w:r>
        <w:rPr>
          <w:rFonts w:hint="eastAsia" w:hAnsi="微软雅黑"/>
          <w:color w:val="auto"/>
          <w:sz w:val="22"/>
          <w:szCs w:val="22"/>
          <w:lang w:val="en-US" w:eastAsia="zh-CN"/>
        </w:rPr>
        <w:t>。</w:t>
      </w:r>
    </w:p>
    <w:tbl>
      <w:tblPr>
        <w:tblW w:w="10137"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76"/>
        <w:gridCol w:w="4111"/>
        <w:gridCol w:w="2489"/>
        <w:gridCol w:w="824"/>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nil"/>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4111"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材料名称</w:t>
            </w:r>
          </w:p>
        </w:tc>
        <w:tc>
          <w:tcPr>
            <w:tcW w:w="248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型号或质量要求</w:t>
            </w:r>
          </w:p>
        </w:tc>
        <w:tc>
          <w:tcPr>
            <w:tcW w:w="82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33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剥离机发热管</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1.3kW/1300长，220V，2000w/根</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剥离机推板架轴杆</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25*500</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排板架上轴杆</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12*280</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剥离机推板拉簧</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剥离机细软拉簧</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剥离机推板活动块</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V型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剥离机直线轴承</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8" w:name="_GoBack"/>
            <w:bookmarkEnd w:id="28"/>
            <w:r>
              <w:rPr>
                <w:rFonts w:hint="eastAsia" w:ascii="宋体" w:hAnsi="宋体" w:eastAsia="宋体" w:cs="宋体"/>
                <w:i w:val="0"/>
                <w:iCs w:val="0"/>
                <w:color w:val="000000"/>
                <w:kern w:val="0"/>
                <w:sz w:val="24"/>
                <w:szCs w:val="24"/>
                <w:u w:val="none"/>
                <w:bdr w:val="none" w:color="auto" w:sz="0" w:space="0"/>
                <w:lang w:val="en-US" w:eastAsia="zh-CN" w:bidi="ar"/>
              </w:rPr>
              <w:t>铜芯25</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剥离机聚胺脂半胶轮</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红半轮</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剥离机大黑轮带槽</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剥离机大黑轮不带槽</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剥离机小黑轮带槽</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剥离机小黑轮不带槽</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剥离机长轴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40Gr</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剥离机中轴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40Gr</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剥离机敲打锤</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单孔</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剥离机磁感传感器</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小头</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剥离机磁感传感器</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大头</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敲打带钩链条左</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敲打带钩链条右</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洗板机带钩链条左</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洗板机带钩链条右</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洗板机三角链条长</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洗板机三角链条短</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烘箱链条20A  7米/根 8根/台=56米/台</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洗板机304带长钩链接头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16A  左</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洗板机304带长钩链接头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16A  右</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洗板机减速机链条</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304不锈钢12A</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敲打机304链接头带长钩</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16A 右</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敲打机304链接头带长钩</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16A 左</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剥离机洗板机三角尖链接头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剥离机线切割插板</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右</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剥离机线切割插板</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左</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剥离机气缸</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32*50</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剥离机气缸</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32*175</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剥离机气缸</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40*100</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剥离机气缸</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40*125</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剥离机气缸</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50*75</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凸型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凸型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50气缸接头</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平型</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推板拆卸块</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H型 </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不锈钢轴承6307</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6307</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轴承UPC207</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UPC207</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不锈钢轴承UPC207</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UPC207</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剥离机轴承</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P002</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剥离机直线轴承</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12铜芯</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剥离机直线轴承</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25铜芯</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剥离机直线轴承</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25滚珠芯</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剥离机电磁阀</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4V210 </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剥离机调节阀</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1001</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剥离机调节阀</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1002</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交流接触器</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NXC100</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交流接触器</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4011</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交流接触器</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9511</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步进电机</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步进驱动器</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AM32207</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步进电机</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STC-130E68-03296</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行星减速机</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伺服电机</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130DNMA2-0002CKAM</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伺服驱动器</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130DNMA2-0002CKAM</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伺服动力线</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130DNMA2-0002CKAM</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离合器</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4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离合器皮带轮</w:t>
            </w:r>
          </w:p>
        </w:tc>
        <w:tc>
          <w:tcPr>
            <w:tcW w:w="2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bl>
    <w:p>
      <w:pPr>
        <w:pStyle w:val="9"/>
        <w:jc w:val="both"/>
        <w:rPr>
          <w:rFonts w:hint="default"/>
          <w:color w:val="auto"/>
          <w:lang w:val="en-US" w:eastAsia="zh-CN"/>
        </w:rPr>
      </w:pPr>
    </w:p>
    <w:p>
      <w:pPr>
        <w:keepNext w:val="0"/>
        <w:keepLines w:val="0"/>
        <w:widowControl/>
        <w:suppressLineNumbers w:val="0"/>
        <w:ind w:firstLine="482" w:firstLineChars="200"/>
        <w:jc w:val="left"/>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4.3 轴承</w:t>
      </w:r>
      <w:r>
        <w:rPr>
          <w:rFonts w:hint="default" w:hAnsi="宋体" w:cs="宋体"/>
          <w:b/>
          <w:bCs/>
          <w:color w:val="auto"/>
          <w:sz w:val="24"/>
          <w:szCs w:val="24"/>
          <w:highlight w:val="none"/>
          <w:lang w:val="en-US" w:eastAsia="zh-CN"/>
        </w:rPr>
        <w:t>标准规范</w:t>
      </w:r>
      <w:r>
        <w:rPr>
          <w:rFonts w:hint="eastAsia" w:hAnsi="宋体" w:cs="宋体"/>
          <w:b/>
          <w:bCs/>
          <w:color w:val="auto"/>
          <w:sz w:val="24"/>
          <w:szCs w:val="24"/>
          <w:highlight w:val="none"/>
          <w:lang w:val="en-US" w:eastAsia="zh-CN"/>
        </w:rPr>
        <w:t>及技术要求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4.3.1投标方</w:t>
      </w:r>
      <w:r>
        <w:rPr>
          <w:rFonts w:hint="default" w:hAnsi="宋体" w:cs="宋体"/>
          <w:color w:val="auto"/>
          <w:sz w:val="24"/>
          <w:szCs w:val="24"/>
          <w:highlight w:val="none"/>
          <w:lang w:val="en-US" w:eastAsia="zh-CN"/>
        </w:rPr>
        <w:t>所供轴承的材料、制造、检验和试验，按下列标准的最新版本要求执行（但不局限于）：</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（1） GB307.1-1994  滚动轴承向心轴承公差。</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（2） GB307.4-1994  滚动轴承推力轴承公差。</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（3） GB307.2-1995  滚动轴承测量及检验标准。</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（4） JB/T3573-1993 滚动轴承径向游隙的测量及评定方法。</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（5） JB/T7361-1994 轴承硬度试验方法。</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（6） JB/T6641-1993 滚动轴承残磁及测定方法。</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（7） JB/T5313-1991 滚动轴承振动速度测量方法。</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以上标准及相关标准中的要求若有不一致之处，以最新标准为准。</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4.3.2 </w:t>
      </w:r>
      <w:r>
        <w:rPr>
          <w:rFonts w:hint="default" w:hAnsi="宋体" w:cs="宋体"/>
          <w:color w:val="auto"/>
          <w:sz w:val="24"/>
          <w:szCs w:val="24"/>
          <w:highlight w:val="none"/>
          <w:lang w:val="en-US" w:eastAsia="zh-CN"/>
        </w:rPr>
        <w:t>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4.3.2.</w:t>
      </w:r>
      <w:r>
        <w:rPr>
          <w:rFonts w:hint="default" w:hAnsi="宋体" w:cs="宋体"/>
          <w:color w:val="auto"/>
          <w:sz w:val="24"/>
          <w:szCs w:val="24"/>
          <w:highlight w:val="none"/>
          <w:lang w:val="en-US" w:eastAsia="zh-CN"/>
        </w:rPr>
        <w:t>1</w:t>
      </w:r>
      <w:r>
        <w:rPr>
          <w:rFonts w:hint="eastAsia" w:hAnsi="宋体" w:cs="宋体"/>
          <w:color w:val="auto"/>
          <w:sz w:val="24"/>
          <w:szCs w:val="24"/>
          <w:highlight w:val="none"/>
          <w:lang w:val="en-US" w:eastAsia="zh-CN"/>
        </w:rPr>
        <w:t xml:space="preserve"> 投标方</w:t>
      </w:r>
      <w:r>
        <w:rPr>
          <w:rFonts w:hint="default" w:hAnsi="宋体" w:cs="宋体"/>
          <w:color w:val="auto"/>
          <w:sz w:val="24"/>
          <w:szCs w:val="24"/>
          <w:highlight w:val="none"/>
          <w:lang w:val="en-US" w:eastAsia="zh-CN"/>
        </w:rPr>
        <w:t>所使用的材料必须与</w:t>
      </w:r>
      <w:r>
        <w:rPr>
          <w:rFonts w:hint="eastAsia" w:hAnsi="宋体" w:cs="宋体"/>
          <w:color w:val="auto"/>
          <w:sz w:val="24"/>
          <w:szCs w:val="24"/>
          <w:highlight w:val="none"/>
          <w:lang w:val="en-US" w:eastAsia="zh-CN"/>
        </w:rPr>
        <w:t>招标方</w:t>
      </w:r>
      <w:r>
        <w:rPr>
          <w:rFonts w:hint="default" w:hAnsi="宋体" w:cs="宋体"/>
          <w:color w:val="auto"/>
          <w:sz w:val="24"/>
          <w:szCs w:val="24"/>
          <w:highlight w:val="none"/>
          <w:lang w:val="en-US" w:eastAsia="zh-CN"/>
        </w:rPr>
        <w:t>提供的技术参数表完全一致。</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4.3.2.</w:t>
      </w:r>
      <w:r>
        <w:rPr>
          <w:rFonts w:hint="default" w:hAnsi="宋体" w:cs="宋体"/>
          <w:color w:val="auto"/>
          <w:sz w:val="24"/>
          <w:szCs w:val="24"/>
          <w:highlight w:val="none"/>
          <w:lang w:val="en-US" w:eastAsia="zh-CN"/>
        </w:rPr>
        <w:t>2</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制造厂使用的材料必须是全新的，其品质完全符合相关标准及合同规定。</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4.3.2.3 投标方</w:t>
      </w:r>
      <w:r>
        <w:rPr>
          <w:rFonts w:hint="default" w:hAnsi="宋体" w:cs="宋体"/>
          <w:color w:val="auto"/>
          <w:sz w:val="24"/>
          <w:szCs w:val="24"/>
          <w:highlight w:val="none"/>
          <w:lang w:val="en-US" w:eastAsia="zh-CN"/>
        </w:rPr>
        <w:t>所提供的产品必须与甲方所提供的轴承型号和图纸相一致，保证与在线轴承的互换性。</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4.3.2.4投标方</w:t>
      </w:r>
      <w:r>
        <w:rPr>
          <w:rFonts w:hint="default" w:hAnsi="宋体" w:cs="宋体"/>
          <w:color w:val="auto"/>
          <w:sz w:val="24"/>
          <w:szCs w:val="24"/>
          <w:highlight w:val="none"/>
          <w:lang w:val="en-US" w:eastAsia="zh-CN"/>
        </w:rPr>
        <w:t>提供的轴承产品尺寸、表面粗糙度、倒角、公差、游隙、材质和硬度等必须符合国家标准或行业家标准。轴承内部和外观必须清洁，不允许有锈蚀、斑点、灰尘等污染物、灰尘等污染物，而且在包装上必须有效保护措施证轴承的清洁。</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4.3.2.5</w:t>
      </w:r>
      <w:r>
        <w:rPr>
          <w:rFonts w:hint="default" w:hAnsi="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投标方</w:t>
      </w:r>
      <w:r>
        <w:rPr>
          <w:rFonts w:hint="default" w:hAnsi="宋体" w:cs="宋体"/>
          <w:color w:val="auto"/>
          <w:sz w:val="24"/>
          <w:szCs w:val="24"/>
          <w:highlight w:val="none"/>
          <w:lang w:val="en-US" w:eastAsia="zh-CN"/>
        </w:rPr>
        <w:t>在轴承运输过程中要采取一定防护措施，避免轴承各组件在运输过程中相互摩擦和碰撞，尤其是大尺寸轴承必须采取有效措施，防止轴承在运输过程中损伤。</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4.3.2.6投标方</w:t>
      </w:r>
      <w:r>
        <w:rPr>
          <w:rFonts w:hint="default" w:hAnsi="宋体" w:cs="宋体"/>
          <w:color w:val="auto"/>
          <w:sz w:val="24"/>
          <w:szCs w:val="24"/>
          <w:highlight w:val="none"/>
          <w:lang w:val="en-US" w:eastAsia="zh-CN"/>
        </w:rPr>
        <w:t>供应的轴承其使用寿命达到原配置标准，</w:t>
      </w:r>
      <w:r>
        <w:rPr>
          <w:rFonts w:hint="eastAsia" w:hAnsi="宋体" w:cs="宋体"/>
          <w:color w:val="auto"/>
          <w:sz w:val="24"/>
          <w:szCs w:val="24"/>
          <w:highlight w:val="none"/>
          <w:lang w:val="en-US" w:eastAsia="zh-CN"/>
        </w:rPr>
        <w:t>投标方</w:t>
      </w:r>
      <w:r>
        <w:rPr>
          <w:rFonts w:hint="default" w:hAnsi="宋体" w:cs="宋体"/>
          <w:color w:val="auto"/>
          <w:sz w:val="24"/>
          <w:szCs w:val="24"/>
          <w:highlight w:val="none"/>
          <w:lang w:val="en-US" w:eastAsia="zh-CN"/>
        </w:rPr>
        <w:t>提供的轴承应有性价比优势。</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4.4 机械零件技术要求：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4.4.1 锐角倒钝、去除毛刺飞边。</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4.4.2 零件去除氧化皮。</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4.4.3 未注圆角半径R5。</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4.4.4 未注倒角均为2×45°。</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4.4.5 未注形状公差应符合GB1184-80的要求。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4.4.6 未注长度尺寸允许偏差±0.5mm。</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4.4.7 零件加工表面上，不应有划痕、擦伤等损伤零件表面的缺陷。</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4.4.8 精加工后的零件摆放时不得直接放在地面上，应采取必要的支撑、保护措施。加工面不允许有锈蛀和影响性能、寿命或外观的磕碰、划伤等缺陷。</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4.4.9 加工的螺纹表面不允许有黑皮、磕碰、乱扣和毛刺等缺陷。</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4.5 铸件技术要求：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 铸件表面上不允许有冷隔、裂纹、缩孔和穿透性缺陷及严重的残缺类缺陷（如欠铸、机械损伤等）。</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 铸件应清理干净，不得有毛刺、飞边，非加工表面上的浇冒口应清理与铸件表面齐平。</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4.5.3 对错型、凸台铸偏等应予以修正，达到圆滑过渡，一保证外观质量。</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4.5.4 铸件非加工表面上的铸字和标志应清晰可辨，位置和字体应符合图样要求。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4.5.5 铸件非加工表面的粗糙度，砂型铸造R，不大于50μm。</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4.5.6 铸件应清除浇冒口、飞刺等。非加工表面上的浇冒口残留量要铲平、磨光，达到表面质量要求。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4.5.7 铸件上的型砂、芯砂和芯骨应清除干净。</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4.5.8 铸件有倾斜的部位、其尺寸公差带应沿倾斜面对称配置。</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4.5.9 铸件上的型砂、芯砂、芯骨、多肉、粘沙等应铲磨平整，清理干净。</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4.5.10 铸件公差带对称于毛坯铸件基本尺寸配置。</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4.5.11 铸件非加工表面的皱褶，深度小于2mm，间距应大于100mm。</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4.5.12 机器产品铸件的非加工表面均需喷丸处理或滚筒处理，达到清洁度Sa2 1/2级的要求。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4.5.13 经喷丸或手工除锈的待涂表面与涂底漆的时间间隔不得多于6h。</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4.5.14 铸件表面应平整，浇口、毛刺、粘砂等应清除干净。</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4.5.15 铸件不允许存在有损于使用的冷隔、裂纹、孔洞等铸造缺陷。</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4.5.16 所有需要进行涂装的钢铁制件表面在涂漆前，必须将铁锈、氧化皮、油脂、灰尘、泥土、盐和污物等除去。</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4.5.17 除锈前，先用有机溶剂、碱液、乳化剂、蒸汽等除去钢铁制件表面的油脂、污垢。</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4.5.18 铸件必须进行水韧处理。</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4.5.19 铆接件相互接触的表面，在连接前必须涂厚度为30～40μm防锈漆。搭接边缘应用油漆、腻子或粘接剂封闭。由于加工或焊接损坏的底漆，要重新涂装。</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4.5.20 每个钢锭的水口、冒口应有足够的切除量，一以保证锻件无缩孔和严重的偏折。</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4.6 热处理要求：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4.6.1 经调质处理，HRC50～55。</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4.6.2 零件进行高频淬火，350～370℃回火，HRC40～45。</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w:t>
      </w:r>
      <w:r>
        <w:rPr>
          <w:rFonts w:hint="default" w:hAnsi="宋体" w:cs="宋体"/>
          <w:color w:val="auto"/>
          <w:sz w:val="24"/>
          <w:szCs w:val="24"/>
          <w:highlight w:val="none"/>
          <w:lang w:val="en-US" w:eastAsia="zh-CN"/>
        </w:rPr>
        <w:t>4</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进行高温时效处理。</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w:t>
      </w:r>
      <w:r>
        <w:rPr>
          <w:rFonts w:hint="default" w:hAnsi="宋体" w:cs="宋体"/>
          <w:color w:val="auto"/>
          <w:sz w:val="24"/>
          <w:szCs w:val="24"/>
          <w:highlight w:val="none"/>
          <w:lang w:val="en-US" w:eastAsia="zh-CN"/>
        </w:rPr>
        <w:t>5</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最终工序热处理后的零件，表面不应有氧化皮。经过精加工的配合面、齿面不应有退火。</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4.6.</w:t>
      </w:r>
      <w:r>
        <w:rPr>
          <w:rFonts w:hint="default" w:hAnsi="宋体" w:cs="宋体"/>
          <w:color w:val="auto"/>
          <w:sz w:val="24"/>
          <w:szCs w:val="24"/>
          <w:highlight w:val="none"/>
          <w:lang w:val="en-US" w:eastAsia="zh-CN"/>
        </w:rPr>
        <w:t>6</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en-US" w:eastAsia="zh-CN"/>
        </w:rPr>
        <w:t>发蓝、变色的现象。</w:t>
      </w:r>
    </w:p>
    <w:p>
      <w:pPr>
        <w:pStyle w:val="9"/>
        <w:keepNext w:val="0"/>
        <w:keepLines w:val="0"/>
        <w:pageBreakBefore w:val="0"/>
        <w:numPr>
          <w:ilvl w:val="0"/>
          <w:numId w:val="0"/>
        </w:numPr>
        <w:kinsoku/>
        <w:wordWrap/>
        <w:overflowPunct/>
        <w:topLinePunct w:val="0"/>
        <w:bidi w:val="0"/>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4.7 电动机技术要求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 电动机的设计应符合本技术规范书和被驱动设备制造厂商提出的特定使用要求。当运行在设计条件下时，电动机的铭牌出力应不小于被驱动设备所需功率的115%。</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4.7.2 电动机应为异步电动机。电动机应能在电源电压变化为额定电压的±10%内，或频率变化为额定频率的±5%内，或电压和频率同时改变，但变化之和的绝对值在10%内时连续满载运行。</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4.7.3 电动机应为直接起动式，能按被驱动设备的转速—转矩曲线所示的载荷进行成功的起动。对于6kV电动机当电源电压降低到额定电压的70%时，电动机应能实现自动起动。</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4.7.4 电动机的起动电流，应达到与满足其应用要求的良好性能与经济设计一致的最低电流值。</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4.7.5 在规定的起动电压的极限值范围之内，电动机转子允许起动时间不得低于其加速时间。</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4.7.6 在额定功率下运行时，电动机应能承受电源快速切换过程中的电源中断而不损坏。假定原有电源与新通电源在切换之前是同步的。</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4.7.7 电动机应具有F级绝缘，但其温升不得超过B级绝缘规定的温升值。电动机绕组应经真空压力浸渍处理和环氧树脂密封绝缘。绝缘应能承受周围环境的影响。</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4.7.8电动机的连接导线与绕组的绝缘应具有相同的绝缘等级。</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4.7.9 对于装有防滴式外壳的电动机，应采用弹性耐磨涂层对定子绕组的端部线匝和通风槽片进行处理。</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4.7.10 如果电动机采用真空开关进行供电，电动机应能承受规定的过电压要求。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4.7.11 电动机的结构应能耐受标准规定的正反转的超速值，而不造成设备损坏。</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4.7.12 电动机的振动幅度不应超过标准所规定的数值。</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4.7.13 电动机的最高噪音水平应符合所列规范和标准的要求。距外壳1米远处，电动机的平均声压级不得大于85dB（A声级）。</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4.7.14 在现场和规定的环境中完全符合规范地运行条件下，电动机的设计应能保证其使用寿命不低于30年。</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4.7.15 电动机采用卧式（或立式）结构，室外安装时其外壳防护等级不低于IP55级，室内安装时外壳防护等级不低于IP54级。电动机的设计达到这类设备所需要的任何特殊转矩要求。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4.7.16 每台电动机装设有电动机机座接地的装置，两个接地装置位于电动机完全相反的两侧。对于立式电动机，一个接地装置位于电源电缆穿线盒的下方，另一个接地装置位于与第一个接地装置相差180度的位置。</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4.7.17 每台电动机应设有一个排水孔，以防内部水的积聚。</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4.7.18 多相电动机的端子处有显示出与电动机铭牌所示的规定旋转方向一致的相序标牌，并由一个箭头标志指示出电动机的旋转方向。倘若没有规定旋转方向，则在电动机上标出与相序T1、T2、T3一致的旋转方向。</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4.7.19 电机外壳颜色在签订技术协议后，由招标方提供色标号。</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4.7.20 电机装设符合IEC标准的有关规定的铭牌标志，至少标注有电动机的名称、型号、接线方式、防护等级、工作方式、转动方向和额定数据（如额定功率、额定电压、额定电流、额定频率、额定转速、绝缘等级）等必要数据，并标有制造厂家、出厂编号和出厂日期，且铭牌耐风雨和防腐蚀，其字样清晰耐久。</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4.7.21 高压电机轴承选用优质国产轴承。电动机和轴承的结构能排除尘垢和水份的侵入，并防止润滑剂到达电动机绕组。</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4.8 性能保证要求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4.8.1  投标方提供的设备性能应满足本技术规范书的技术要求和相关标准要求。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4.8.2 在设备质保期内，因设备质量问题而造成的设备损坏或不能正常使用时，投标方应无偿修理或更换，并将设备的质保期延长，延长时间为设备重新投运后12个月。否则严格履行赔偿责任。</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5.9 直行程气动装置技术要求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 xml:space="preserve">5.9.1气动头采用德国FESTO原装产品（投标商需提供原产地证明文件），其中气动定位器采用ABB产品，电磁阀采用德国FESTO原装产品（投标商必须提供原产地证明文件）。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气动驱动装置用于操作气动闸板，开关型气动驱动装置配二位五通电磁阀和位置开关。气缸执行机构采用直行程结构，永久性润滑，活塞配有防磨擦O型圈以确保在活塞运行时无金属/金属之间的磨擦，活塞与活塞杆一体化设计。</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5.9.2气缸执行机构采用双作用形式</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 xml:space="preserve">5.9.3气缸能够承受1Mpa气源压力 </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5.9.4气缸供气压力：0.6MPa</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5.9.5缸体、缸盖采用钝化合金铝材料制成，外表面作静电喷涂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5.9.6活塞材料为钝化合金铝 O型圈为丁晴橡胶NBR，工作温度-20 - +80°C</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5.9.6衬垫为工程聚合物</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5.9.7固定件为304不锈钢</w:t>
      </w:r>
    </w:p>
    <w:p>
      <w:pPr>
        <w:pStyle w:val="2"/>
        <w:numPr>
          <w:ilvl w:val="0"/>
          <w:numId w:val="0"/>
        </w:numPr>
        <w:bidi w:val="0"/>
        <w:ind w:leftChars="0"/>
        <w:outlineLvl w:val="0"/>
        <w:rPr>
          <w:rFonts w:hint="eastAsia"/>
          <w:color w:val="auto"/>
          <w:lang w:val="en-US" w:eastAsia="zh-CN"/>
        </w:rPr>
      </w:pPr>
      <w:bookmarkStart w:id="15" w:name="_Toc19650"/>
      <w:r>
        <w:rPr>
          <w:rFonts w:hint="eastAsia"/>
          <w:color w:val="auto"/>
          <w:lang w:val="en-US" w:eastAsia="zh-CN"/>
        </w:rPr>
        <w:t>5、质保期及权利和义务</w:t>
      </w:r>
      <w:bookmarkEnd w:id="15"/>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.1投标方应采取措施确保</w:t>
      </w:r>
      <w:r>
        <w:rPr>
          <w:rFonts w:hint="eastAsia" w:hAnsi="宋体" w:cs="宋体"/>
          <w:color w:val="auto"/>
          <w:sz w:val="24"/>
          <w:szCs w:val="24"/>
          <w:highlight w:val="none"/>
          <w:lang w:val="en-US" w:eastAsia="zh-CN"/>
        </w:rPr>
        <w:t>剥离机备品备件</w:t>
      </w:r>
      <w:r>
        <w:rPr>
          <w:rFonts w:hint="eastAsia" w:ascii="宋体" w:hAnsi="宋体" w:eastAsia="宋体" w:cs="宋体"/>
          <w:color w:val="auto"/>
          <w:sz w:val="24"/>
          <w:szCs w:val="24"/>
          <w:highlight w:val="none"/>
          <w:lang w:val="en-US" w:eastAsia="zh-CN"/>
        </w:rPr>
        <w:t>符合本技术规范书的要求。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.2在设计和材料选择方面应准确无误，加工工艺无任何缺陷和差错，技术文件及图纸要清晰、正确、完整，能满足安装、正常运行和维护的要求。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.3投标方在保证产品质量的前提下，尽量满足招标方对供货周期的要求。</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4在质保期内如发生产品质量不符合合同要求及相应的国家标准，投标方应当无条件负责维修或更换，直至达到电解锰行业的使用要求为止。在质保期内出现因投标方设计、制造工艺或者材料缺陷而造成的任何缺陷或故障，投标方负责免费修理或更换</w:t>
      </w:r>
      <w:bookmarkStart w:id="16" w:name="_Toc517250361"/>
      <w:r>
        <w:rPr>
          <w:rFonts w:hint="eastAsia" w:hAnsi="宋体" w:cs="宋体"/>
          <w:color w:val="auto"/>
          <w:sz w:val="24"/>
          <w:szCs w:val="24"/>
          <w:highlight w:val="none"/>
          <w:lang w:val="en-US" w:eastAsia="zh-CN"/>
        </w:rPr>
        <w:t>。</w:t>
      </w:r>
    </w:p>
    <w:p>
      <w:pPr>
        <w:pStyle w:val="9"/>
        <w:keepNext w:val="0"/>
        <w:keepLines w:val="0"/>
        <w:pageBreakBefore w:val="0"/>
        <w:numPr>
          <w:ilvl w:val="0"/>
          <w:numId w:val="0"/>
        </w:numPr>
        <w:kinsoku/>
        <w:wordWrap/>
        <w:overflowPunct/>
        <w:topLinePunct w:val="0"/>
        <w:bidi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质保期内，投标方要确保</w:t>
      </w:r>
      <w:r>
        <w:rPr>
          <w:rFonts w:hint="eastAsia" w:hAnsi="宋体" w:cs="宋体"/>
          <w:color w:val="auto"/>
          <w:sz w:val="24"/>
          <w:szCs w:val="24"/>
          <w:highlight w:val="none"/>
          <w:lang w:val="en-US" w:eastAsia="zh-CN"/>
        </w:rPr>
        <w:t>五金材料</w:t>
      </w:r>
      <w:r>
        <w:rPr>
          <w:rFonts w:hint="eastAsia" w:ascii="宋体" w:hAnsi="宋体" w:eastAsia="宋体" w:cs="宋体"/>
          <w:color w:val="auto"/>
          <w:sz w:val="24"/>
          <w:szCs w:val="24"/>
          <w:highlight w:val="none"/>
          <w:lang w:val="en-US" w:eastAsia="zh-CN"/>
        </w:rPr>
        <w:t>性能指标符合技术条件有关要求。</w:t>
      </w:r>
      <w:r>
        <w:rPr>
          <w:rFonts w:hint="eastAsia" w:hAnsi="宋体" w:cs="宋体"/>
          <w:color w:val="auto"/>
          <w:sz w:val="24"/>
          <w:szCs w:val="24"/>
          <w:highlight w:val="none"/>
          <w:lang w:val="en-US" w:eastAsia="zh-CN"/>
        </w:rPr>
        <w:t>五金材料不符合技术条件</w:t>
      </w:r>
      <w:r>
        <w:rPr>
          <w:rFonts w:hint="eastAsia" w:ascii="宋体" w:hAnsi="宋体" w:eastAsia="宋体" w:cs="宋体"/>
          <w:color w:val="auto"/>
          <w:sz w:val="24"/>
          <w:szCs w:val="24"/>
          <w:highlight w:val="none"/>
          <w:lang w:val="en-US" w:eastAsia="zh-CN"/>
        </w:rPr>
        <w:t>由投标方负责免费处理</w:t>
      </w:r>
      <w:r>
        <w:rPr>
          <w:rFonts w:hint="eastAsia" w:hAnsi="宋体" w:cs="宋体"/>
          <w:color w:val="auto"/>
          <w:sz w:val="24"/>
          <w:szCs w:val="24"/>
          <w:highlight w:val="none"/>
          <w:lang w:val="en-US" w:eastAsia="zh-CN"/>
        </w:rPr>
        <w:t>。</w:t>
      </w:r>
    </w:p>
    <w:bookmarkEnd w:id="16"/>
    <w:p>
      <w:pPr>
        <w:pStyle w:val="2"/>
        <w:keepNext w:val="0"/>
        <w:keepLines w:val="0"/>
        <w:pageBreakBefore w:val="0"/>
        <w:numPr>
          <w:ilvl w:val="0"/>
          <w:numId w:val="0"/>
        </w:numPr>
        <w:kinsoku/>
        <w:wordWrap/>
        <w:overflowPunct/>
        <w:topLinePunct w:val="0"/>
        <w:bidi w:val="0"/>
        <w:spacing w:line="360" w:lineRule="auto"/>
        <w:ind w:left="142" w:leftChars="0"/>
        <w:rPr>
          <w:rFonts w:hint="eastAsia"/>
          <w:color w:val="auto"/>
          <w:lang w:val="en-US" w:eastAsia="zh-CN"/>
        </w:rPr>
      </w:pPr>
      <w:bookmarkStart w:id="17" w:name="_Toc29778"/>
      <w:bookmarkStart w:id="18" w:name="_Toc27472"/>
      <w:bookmarkStart w:id="19" w:name="_Toc13881"/>
      <w:r>
        <w:rPr>
          <w:rFonts w:hint="eastAsia"/>
          <w:color w:val="auto"/>
          <w:lang w:val="en-US" w:eastAsia="zh-CN"/>
        </w:rPr>
        <w:t>6、售后服务</w:t>
      </w:r>
      <w:bookmarkEnd w:id="17"/>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0" w:name="_Toc16225"/>
      <w:r>
        <w:rPr>
          <w:rFonts w:hint="eastAsia" w:ascii="宋体" w:hAnsi="宋体" w:eastAsia="宋体" w:cs="宋体"/>
          <w:b w:val="0"/>
          <w:bCs/>
          <w:color w:val="auto"/>
          <w:sz w:val="24"/>
          <w:szCs w:val="18"/>
          <w:lang w:val="en-US" w:eastAsia="zh-CN"/>
        </w:rPr>
        <w:t>6.1投标方必须派出合格的、能独立解决现场实际问题的调试技术人员。投标方的技术人员必须能满足使用方使用本条件设备的需要，否则，使用方有权要求投标方更换技术服务人员或延长服务期限，且发生的费用由投标方承担。</w:t>
      </w:r>
      <w:bookmarkEnd w:id="20"/>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1" w:name="_Toc29764"/>
      <w:r>
        <w:rPr>
          <w:rFonts w:hint="eastAsia" w:ascii="宋体" w:hAnsi="宋体" w:eastAsia="宋体" w:cs="宋体"/>
          <w:b w:val="0"/>
          <w:bCs/>
          <w:color w:val="auto"/>
          <w:sz w:val="24"/>
          <w:szCs w:val="18"/>
          <w:lang w:val="en-US" w:eastAsia="zh-CN"/>
        </w:rPr>
        <w:t>6.2投标方一切费用己包含在合同总价中，包括诸如服务人员的工资及各种补助、交通费、通讯费、食宿费、医疗费、各种保险费、</w:t>
      </w:r>
      <w:r>
        <w:rPr>
          <w:rFonts w:hint="eastAsia" w:ascii="宋体" w:hAnsi="宋体" w:cs="宋体"/>
          <w:b w:val="0"/>
          <w:bCs/>
          <w:color w:val="auto"/>
          <w:sz w:val="24"/>
          <w:szCs w:val="18"/>
          <w:lang w:val="en-US" w:eastAsia="zh-CN"/>
        </w:rPr>
        <w:t>装卸费</w:t>
      </w:r>
      <w:r>
        <w:rPr>
          <w:rFonts w:hint="eastAsia" w:ascii="宋体" w:hAnsi="宋体" w:eastAsia="宋体" w:cs="宋体"/>
          <w:b w:val="0"/>
          <w:bCs/>
          <w:color w:val="auto"/>
          <w:sz w:val="24"/>
          <w:szCs w:val="18"/>
          <w:lang w:val="en-US" w:eastAsia="zh-CN"/>
        </w:rPr>
        <w:t>、各种税费等。因现场施工条件比较多元化，如果因其它单位影响我公司施工，招标方负责协调施工，如果性能及技术指标一项或多项不能满足合同技术要求，招标方按商务部分有关条款履行赔偿责任。</w:t>
      </w:r>
      <w:bookmarkEnd w:id="21"/>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2" w:name="_Toc15748"/>
      <w:r>
        <w:rPr>
          <w:rFonts w:hint="eastAsia" w:ascii="宋体" w:hAnsi="宋体" w:eastAsia="宋体" w:cs="宋体"/>
          <w:b w:val="0"/>
          <w:bCs/>
          <w:color w:val="auto"/>
          <w:sz w:val="24"/>
          <w:szCs w:val="18"/>
          <w:lang w:val="en-US" w:eastAsia="zh-CN"/>
        </w:rPr>
        <w:t>6.3投标方现场服务人员的工作时间必须满足现场设备运行的要求。</w:t>
      </w:r>
      <w:bookmarkEnd w:id="22"/>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3" w:name="_Toc18998"/>
      <w:r>
        <w:rPr>
          <w:rFonts w:hint="eastAsia" w:ascii="宋体" w:hAnsi="宋体" w:eastAsia="宋体" w:cs="宋体"/>
          <w:b w:val="0"/>
          <w:bCs/>
          <w:color w:val="auto"/>
          <w:sz w:val="24"/>
          <w:szCs w:val="18"/>
          <w:lang w:val="en-US" w:eastAsia="zh-CN"/>
        </w:rPr>
        <w:t>6.4技术培训：投标方必须向使用方技术人员、运行人员、维修操作人员进行现场与理论培训，直到能够单独操作及进行简单的日常维修、维护为止，应列出培训计划、内容。</w:t>
      </w:r>
      <w:bookmarkEnd w:id="23"/>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4" w:name="_Toc19006"/>
      <w:r>
        <w:rPr>
          <w:rFonts w:hint="eastAsia" w:ascii="宋体" w:hAnsi="宋体" w:eastAsia="宋体" w:cs="宋体"/>
          <w:b w:val="0"/>
          <w:bCs/>
          <w:color w:val="auto"/>
          <w:sz w:val="24"/>
          <w:szCs w:val="18"/>
          <w:lang w:val="en-US" w:eastAsia="zh-CN"/>
        </w:rPr>
        <w:t>6.5使用方在使用</w:t>
      </w:r>
      <w:r>
        <w:rPr>
          <w:rFonts w:hint="eastAsia" w:ascii="宋体" w:hAnsi="宋体" w:cs="宋体"/>
          <w:b w:val="0"/>
          <w:bCs/>
          <w:color w:val="auto"/>
          <w:sz w:val="24"/>
          <w:szCs w:val="18"/>
          <w:lang w:val="en-US" w:eastAsia="zh-CN"/>
        </w:rPr>
        <w:t>剥离机备品备件</w:t>
      </w:r>
      <w:r>
        <w:rPr>
          <w:rFonts w:hint="eastAsia" w:ascii="宋体" w:hAnsi="宋体" w:eastAsia="宋体" w:cs="宋体"/>
          <w:b w:val="0"/>
          <w:bCs/>
          <w:color w:val="auto"/>
          <w:sz w:val="24"/>
          <w:szCs w:val="18"/>
          <w:lang w:val="en-US" w:eastAsia="zh-CN"/>
        </w:rPr>
        <w:t>前，应按照投标方提供的说明书中的有关项对本设备进行检查，如发现存在缺陷或技术缺陷影响使用时，应及时通知投标方，由投标方负责整改。</w:t>
      </w:r>
      <w:bookmarkEnd w:id="24"/>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18"/>
          <w:lang w:val="en-US" w:eastAsia="zh-CN"/>
        </w:rPr>
      </w:pPr>
      <w:bookmarkStart w:id="25" w:name="_Toc31104"/>
      <w:r>
        <w:rPr>
          <w:rFonts w:hint="eastAsia" w:ascii="宋体" w:hAnsi="宋体" w:eastAsia="宋体" w:cs="宋体"/>
          <w:b w:val="0"/>
          <w:bCs/>
          <w:color w:val="auto"/>
          <w:sz w:val="24"/>
          <w:szCs w:val="18"/>
          <w:lang w:val="en-US" w:eastAsia="zh-CN"/>
        </w:rPr>
        <w:t>6.6投标方应保证备品备件及易损件的长期价格优惠供应和优质的售后服务。</w:t>
      </w:r>
      <w:bookmarkEnd w:id="25"/>
    </w:p>
    <w:p>
      <w:pPr>
        <w:keepNext w:val="0"/>
        <w:keepLines w:val="0"/>
        <w:pageBreakBefore w:val="0"/>
        <w:numPr>
          <w:ilvl w:val="0"/>
          <w:numId w:val="0"/>
        </w:numPr>
        <w:tabs>
          <w:tab w:val="left" w:pos="0"/>
          <w:tab w:val="left" w:pos="425"/>
        </w:tabs>
        <w:kinsoku/>
        <w:wordWrap/>
        <w:overflowPunct/>
        <w:topLinePunct w:val="0"/>
        <w:bidi w:val="0"/>
        <w:spacing w:line="360" w:lineRule="auto"/>
        <w:ind w:firstLine="480" w:firstLineChars="200"/>
        <w:outlineLvl w:val="9"/>
        <w:rPr>
          <w:rFonts w:hint="eastAsia" w:ascii="宋体" w:hAnsi="宋体" w:cs="宋体"/>
          <w:b w:val="0"/>
          <w:bCs/>
          <w:color w:val="auto"/>
          <w:sz w:val="24"/>
          <w:szCs w:val="18"/>
          <w:lang w:val="en-US" w:eastAsia="zh-CN"/>
        </w:rPr>
      </w:pPr>
      <w:bookmarkStart w:id="26" w:name="_Toc14490"/>
      <w:r>
        <w:rPr>
          <w:rFonts w:hint="eastAsia" w:ascii="宋体" w:hAnsi="宋体" w:eastAsia="宋体" w:cs="宋体"/>
          <w:b w:val="0"/>
          <w:bCs/>
          <w:color w:val="auto"/>
          <w:sz w:val="24"/>
          <w:szCs w:val="18"/>
          <w:lang w:val="en-US" w:eastAsia="zh-CN"/>
        </w:rPr>
        <w:t>6.7投标方对其现场服务人员的一切行为负全部责任</w:t>
      </w:r>
      <w:r>
        <w:rPr>
          <w:rFonts w:hint="eastAsia" w:ascii="宋体" w:hAnsi="宋体" w:cs="宋体"/>
          <w:b w:val="0"/>
          <w:bCs/>
          <w:color w:val="auto"/>
          <w:sz w:val="24"/>
          <w:szCs w:val="18"/>
          <w:lang w:val="en-US" w:eastAsia="zh-CN"/>
        </w:rPr>
        <w:t>。</w:t>
      </w:r>
      <w:bookmarkEnd w:id="26"/>
    </w:p>
    <w:p>
      <w:pPr>
        <w:ind w:firstLine="480" w:firstLineChars="200"/>
        <w:outlineLvl w:val="9"/>
        <w:rPr>
          <w:rFonts w:hint="default"/>
          <w:color w:val="auto"/>
          <w:lang w:val="en-US" w:eastAsia="zh-CN"/>
        </w:rPr>
      </w:pPr>
      <w:r>
        <w:rPr>
          <w:rFonts w:hint="eastAsia"/>
          <w:color w:val="auto"/>
          <w:lang w:val="en-US" w:eastAsia="zh-CN"/>
        </w:rPr>
        <w:t>6.8投标方应保证设备出现故障，投标方应在24小时之内到达现场进行解决。</w:t>
      </w:r>
    </w:p>
    <w:p>
      <w:pPr>
        <w:pStyle w:val="2"/>
        <w:keepNext w:val="0"/>
        <w:keepLines w:val="0"/>
        <w:pageBreakBefore w:val="0"/>
        <w:numPr>
          <w:ilvl w:val="0"/>
          <w:numId w:val="0"/>
        </w:numPr>
        <w:kinsoku/>
        <w:wordWrap/>
        <w:overflowPunct/>
        <w:topLinePunct w:val="0"/>
        <w:bidi w:val="0"/>
        <w:spacing w:line="360" w:lineRule="auto"/>
        <w:ind w:left="142" w:leftChars="0"/>
        <w:rPr>
          <w:rFonts w:hint="eastAsia" w:ascii="宋体" w:hAnsi="宋体" w:eastAsia="宋体" w:cs="宋体"/>
          <w:color w:val="auto"/>
          <w:sz w:val="28"/>
          <w:szCs w:val="28"/>
          <w:highlight w:val="none"/>
          <w:lang w:val="en-US" w:eastAsia="zh-CN"/>
        </w:rPr>
      </w:pPr>
      <w:bookmarkStart w:id="27" w:name="_Toc5255"/>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、供货周期要求</w:t>
      </w:r>
      <w:bookmarkEnd w:id="18"/>
      <w:bookmarkEnd w:id="19"/>
      <w:bookmarkEnd w:id="27"/>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 交货时间：具体交货时间</w:t>
      </w:r>
      <w:r>
        <w:rPr>
          <w:rFonts w:hint="eastAsia" w:hAnsi="宋体" w:cs="宋体"/>
          <w:color w:val="auto"/>
          <w:sz w:val="24"/>
          <w:szCs w:val="24"/>
          <w:highlight w:val="none"/>
          <w:lang w:val="en-US" w:eastAsia="zh-CN"/>
        </w:rPr>
        <w:t>为中标通知书发出10个工作日内。</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 交货地点：</w:t>
      </w:r>
      <w:r>
        <w:rPr>
          <w:rFonts w:hint="eastAsia" w:hAnsi="宋体" w:cs="宋体"/>
          <w:color w:val="auto"/>
          <w:sz w:val="24"/>
          <w:szCs w:val="24"/>
          <w:highlight w:val="none"/>
          <w:lang w:val="en-US" w:eastAsia="zh-CN"/>
        </w:rPr>
        <w:t>靖西市锰矿有限责任公司电解金属锰厂</w:t>
      </w:r>
      <w:r>
        <w:rPr>
          <w:rFonts w:hint="eastAsia" w:ascii="宋体" w:hAnsi="宋体" w:eastAsia="宋体" w:cs="宋体"/>
          <w:color w:val="auto"/>
          <w:sz w:val="24"/>
          <w:szCs w:val="24"/>
          <w:highlight w:val="none"/>
          <w:lang w:val="en-US" w:eastAsia="zh-CN"/>
        </w:rPr>
        <w:t>。</w:t>
      </w:r>
    </w:p>
    <w:p>
      <w:pPr>
        <w:pStyle w:val="9"/>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.3 交货方式：由投标方全部配送到招标方</w:t>
      </w:r>
      <w:r>
        <w:rPr>
          <w:rFonts w:hint="eastAsia" w:hAnsi="宋体" w:cs="宋体"/>
          <w:color w:val="auto"/>
          <w:sz w:val="24"/>
          <w:szCs w:val="24"/>
          <w:highlight w:val="none"/>
          <w:lang w:val="en-US" w:eastAsia="zh-CN"/>
        </w:rPr>
        <w:t>仓库</w:t>
      </w:r>
      <w:r>
        <w:rPr>
          <w:rFonts w:hint="eastAsia" w:ascii="宋体" w:hAnsi="宋体" w:eastAsia="宋体" w:cs="宋体"/>
          <w:color w:val="auto"/>
          <w:sz w:val="24"/>
          <w:szCs w:val="24"/>
          <w:highlight w:val="none"/>
          <w:lang w:val="en-US" w:eastAsia="zh-CN"/>
        </w:rPr>
        <w:t>。</w:t>
      </w:r>
    </w:p>
    <w:p>
      <w:pPr>
        <w:pStyle w:val="9"/>
        <w:numPr>
          <w:ilvl w:val="0"/>
          <w:numId w:val="0"/>
        </w:numPr>
        <w:ind w:firstLine="480" w:firstLineChars="200"/>
        <w:rPr>
          <w:rFonts w:hint="eastAsia" w:ascii="宋体" w:hAnsi="宋体" w:eastAsia="宋体" w:cs="宋体"/>
          <w:color w:val="auto"/>
          <w:sz w:val="24"/>
          <w:szCs w:val="24"/>
          <w:highlight w:val="none"/>
          <w:lang w:val="en-US" w:eastAsia="zh-CN"/>
        </w:rPr>
      </w:pPr>
    </w:p>
    <w:p>
      <w:pPr>
        <w:bidi w:val="0"/>
        <w:rPr>
          <w:rFonts w:hint="default"/>
          <w:color w:val="auto"/>
          <w:lang w:val="en-US" w:eastAsia="zh-CN"/>
        </w:rPr>
      </w:pPr>
    </w:p>
    <w:p>
      <w:pPr>
        <w:bidi w:val="0"/>
        <w:rPr>
          <w:rFonts w:hint="eastAsia"/>
          <w:color w:val="auto"/>
        </w:rPr>
      </w:pPr>
    </w:p>
    <w:p>
      <w:pPr>
        <w:rPr>
          <w:color w:val="auto"/>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YTlmOGNhODk3ZGU2NGM5NGY4ZDUxYWIxNDMwNDcifQ=="/>
  </w:docVars>
  <w:rsids>
    <w:rsidRoot w:val="14AD1913"/>
    <w:rsid w:val="0CE93808"/>
    <w:rsid w:val="14AD1913"/>
    <w:rsid w:val="161679DF"/>
    <w:rsid w:val="6B2B0266"/>
    <w:rsid w:val="7A48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numPr>
        <w:ilvl w:val="0"/>
        <w:numId w:val="0"/>
      </w:numPr>
      <w:tabs>
        <w:tab w:val="left" w:pos="0"/>
        <w:tab w:val="left" w:pos="425"/>
      </w:tabs>
      <w:adjustRightInd w:val="0"/>
      <w:snapToGrid w:val="0"/>
      <w:spacing w:line="360" w:lineRule="auto"/>
      <w:ind w:left="0"/>
      <w:outlineLvl w:val="0"/>
    </w:pPr>
    <w:rPr>
      <w:b/>
      <w:kern w:val="44"/>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autoSpaceDE w:val="0"/>
      <w:autoSpaceDN w:val="0"/>
      <w:adjustRightInd w:val="0"/>
      <w:snapToGrid w:val="0"/>
      <w:spacing w:line="360" w:lineRule="auto"/>
      <w:jc w:val="left"/>
    </w:pPr>
    <w:rPr>
      <w:rFonts w:ascii="宋体"/>
      <w:kern w:val="0"/>
      <w:sz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left" w:pos="1260"/>
        <w:tab w:val="right" w:leader="dot" w:pos="8040"/>
      </w:tabs>
      <w:adjustRightInd w:val="0"/>
      <w:spacing w:line="360" w:lineRule="auto"/>
      <w:ind w:leftChars="0" w:right="0" w:rightChars="0"/>
      <w:jc w:val="left"/>
    </w:pPr>
    <w:rPr>
      <w:rFonts w:hint="eastAsia" w:ascii="宋体" w:hAnsi="宋体" w:cs="宋体"/>
      <w:b/>
      <w:kern w:val="0"/>
      <w:sz w:val="28"/>
      <w:szCs w:val="28"/>
    </w:rPr>
  </w:style>
  <w:style w:type="paragraph" w:styleId="6">
    <w:name w:val="Normal (Web)"/>
    <w:basedOn w:val="1"/>
    <w:unhideWhenUsed/>
    <w:qFormat/>
    <w:uiPriority w:val="99"/>
    <w:rPr>
      <w:sz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font11"/>
    <w:basedOn w:val="8"/>
    <w:qFormat/>
    <w:uiPriority w:val="0"/>
    <w:rPr>
      <w:rFonts w:hint="eastAsia" w:ascii="宋体" w:hAnsi="宋体" w:eastAsia="宋体" w:cs="宋体"/>
      <w:color w:val="000000"/>
      <w:sz w:val="24"/>
      <w:szCs w:val="24"/>
      <w:u w:val="none"/>
    </w:rPr>
  </w:style>
  <w:style w:type="character" w:customStyle="1" w:styleId="11">
    <w:name w:val="font41"/>
    <w:basedOn w:val="8"/>
    <w:qFormat/>
    <w:uiPriority w:val="0"/>
    <w:rPr>
      <w:rFonts w:hint="eastAsia" w:ascii="宋体" w:hAnsi="宋体" w:eastAsia="宋体" w:cs="宋体"/>
      <w:color w:val="000000"/>
      <w:sz w:val="24"/>
      <w:szCs w:val="24"/>
      <w:u w:val="none"/>
    </w:rPr>
  </w:style>
  <w:style w:type="character" w:customStyle="1" w:styleId="12">
    <w:name w:val="font5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6419</Words>
  <Characters>7400</Characters>
  <Lines>0</Lines>
  <Paragraphs>0</Paragraphs>
  <TotalTime>4</TotalTime>
  <ScaleCrop>false</ScaleCrop>
  <LinksUpToDate>false</LinksUpToDate>
  <CharactersWithSpaces>8005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2023-05-24T02:00:00Z</dcterms:created>
  <dc:creator>渐行渐远</dc:creator>
  <cp:lastModifiedBy>小二皮</cp:lastModifiedBy>
  <dcterms:modified xsi:type="dcterms:W3CDTF">2023-06-12T02:27:34Z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153401A10A314FE88D6110A40C0794F4_13</vt:lpwstr>
  </property>
</Properties>
</file>