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 w:val="left" w:pos="6615"/>
        </w:tabs>
        <w:snapToGrid w:val="0"/>
        <w:spacing w:beforeLines="50" w:afterLines="50" w:line="440" w:lineRule="exact"/>
        <w:ind w:right="420" w:rightChars="200"/>
        <w:rPr>
          <w:rFonts w:ascii="黑体" w:hAnsi="宋体" w:eastAsia="黑体"/>
          <w:color w:val="000000"/>
          <w:szCs w:val="21"/>
        </w:rPr>
      </w:pPr>
    </w:p>
    <w:p>
      <w:pPr>
        <w:pStyle w:val="2"/>
        <w:snapToGrid w:val="0"/>
        <w:spacing w:beforeLines="100" w:afterLines="100" w:line="440" w:lineRule="exact"/>
        <w:jc w:val="center"/>
        <w:rPr>
          <w:rFonts w:hint="eastAsia" w:ascii="宋体" w:hAnsi="宋体" w:cs="宋体"/>
          <w:b/>
          <w:bCs/>
          <w:sz w:val="44"/>
          <w:szCs w:val="44"/>
        </w:rPr>
      </w:pPr>
      <w:r>
        <w:rPr>
          <w:rFonts w:hint="eastAsia" w:ascii="宋体" w:hAnsi="宋体" w:cs="宋体"/>
          <w:b/>
          <w:bCs/>
          <w:sz w:val="44"/>
          <w:szCs w:val="44"/>
          <w:lang w:val="en-US" w:eastAsia="zh-CN"/>
        </w:rPr>
        <w:t>百色百矿</w:t>
      </w:r>
      <w:r>
        <w:rPr>
          <w:rFonts w:hint="eastAsia" w:ascii="宋体" w:hAnsi="宋体" w:cs="宋体"/>
          <w:b/>
          <w:bCs/>
          <w:sz w:val="44"/>
          <w:szCs w:val="44"/>
        </w:rPr>
        <w:t>发电有限公司</w:t>
      </w:r>
    </w:p>
    <w:p>
      <w:pPr>
        <w:pStyle w:val="2"/>
        <w:snapToGrid w:val="0"/>
        <w:spacing w:beforeLines="100" w:afterLines="100" w:line="440" w:lineRule="exact"/>
        <w:jc w:val="center"/>
        <w:rPr>
          <w:rFonts w:ascii="宋体" w:hAnsi="宋体"/>
          <w:b/>
          <w:bCs/>
          <w:color w:val="auto"/>
          <w:kern w:val="2"/>
          <w:sz w:val="44"/>
          <w:szCs w:val="44"/>
        </w:rPr>
      </w:pPr>
      <w:r>
        <w:rPr>
          <w:rFonts w:hint="eastAsia" w:ascii="宋体" w:hAnsi="宋体" w:cs="宋体"/>
          <w:b/>
          <w:bCs/>
          <w:sz w:val="44"/>
          <w:szCs w:val="44"/>
        </w:rPr>
        <w:t>2023年#2机组C修#2锅炉返料器金属膨胀节更换合同</w:t>
      </w: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autoSpaceDE w:val="0"/>
        <w:autoSpaceDN w:val="0"/>
        <w:adjustRightInd w:val="0"/>
        <w:snapToGrid w:val="0"/>
        <w:spacing w:beforeLines="50" w:afterLines="50" w:line="440" w:lineRule="exact"/>
        <w:ind w:right="420" w:rightChars="200"/>
        <w:rPr>
          <w:rFonts w:ascii="宋体" w:hAnsi="宋体"/>
          <w:b/>
          <w:bCs/>
          <w:color w:val="000000"/>
          <w:sz w:val="72"/>
          <w:szCs w:val="72"/>
        </w:rPr>
      </w:pPr>
    </w:p>
    <w:p>
      <w:pPr>
        <w:tabs>
          <w:tab w:val="left" w:pos="567"/>
        </w:tabs>
        <w:snapToGrid w:val="0"/>
        <w:spacing w:beforeLines="50" w:afterLines="50" w:line="440" w:lineRule="exact"/>
        <w:ind w:left="2931" w:leftChars="350" w:hanging="2196" w:hangingChars="450"/>
        <w:rPr>
          <w:rFonts w:hint="eastAsia" w:ascii="宋体" w:hAnsi="宋体"/>
          <w:sz w:val="32"/>
          <w:szCs w:val="32"/>
          <w:lang w:val="en-US" w:eastAsia="zh-CN"/>
        </w:rPr>
      </w:pPr>
      <w:r>
        <w:rPr>
          <w:rFonts w:hint="eastAsia" w:ascii="宋体" w:hAnsi="宋体"/>
          <w:spacing w:val="84"/>
          <w:sz w:val="32"/>
          <w:szCs w:val="32"/>
        </w:rPr>
        <w:t>项目名称</w:t>
      </w:r>
      <w:r>
        <w:rPr>
          <w:rFonts w:hint="eastAsia" w:ascii="宋体" w:hAnsi="宋体"/>
          <w:sz w:val="32"/>
          <w:szCs w:val="32"/>
        </w:rPr>
        <w:t>:百矿电厂2023年#2机组C修#2锅炉返料器金属膨胀节更换</w:t>
      </w:r>
    </w:p>
    <w:p>
      <w:pPr>
        <w:tabs>
          <w:tab w:val="left" w:pos="567"/>
        </w:tabs>
        <w:snapToGrid w:val="0"/>
        <w:spacing w:beforeLines="50" w:afterLines="50" w:line="440" w:lineRule="exact"/>
        <w:ind w:firstLine="732" w:firstLineChars="150"/>
        <w:rPr>
          <w:rFonts w:hint="eastAsia" w:ascii="宋体" w:hAnsi="宋体" w:eastAsia="宋体"/>
          <w:sz w:val="32"/>
          <w:szCs w:val="32"/>
          <w:lang w:val="en-US" w:eastAsia="zh-CN"/>
        </w:rPr>
      </w:pPr>
      <w:r>
        <w:rPr>
          <w:rFonts w:hint="eastAsia" w:ascii="宋体" w:hAnsi="宋体"/>
          <w:spacing w:val="84"/>
          <w:sz w:val="32"/>
          <w:szCs w:val="32"/>
        </w:rPr>
        <w:t>合同编号:</w:t>
      </w:r>
      <w:r>
        <w:rPr>
          <w:rFonts w:hint="eastAsia" w:ascii="宋体" w:hAnsi="宋体"/>
          <w:sz w:val="32"/>
          <w:szCs w:val="32"/>
          <w:lang w:val="en-US" w:eastAsia="zh-CN"/>
        </w:rPr>
        <w:t xml:space="preserve"> </w:t>
      </w:r>
    </w:p>
    <w:p>
      <w:pPr>
        <w:tabs>
          <w:tab w:val="left" w:pos="567"/>
        </w:tabs>
        <w:snapToGrid w:val="0"/>
        <w:spacing w:beforeLines="50" w:afterLines="50" w:line="440" w:lineRule="exact"/>
        <w:ind w:firstLine="732" w:firstLineChars="150"/>
        <w:jc w:val="left"/>
        <w:rPr>
          <w:rFonts w:hint="default" w:ascii="宋体" w:hAnsi="宋体" w:eastAsia="宋体"/>
          <w:spacing w:val="84"/>
          <w:sz w:val="32"/>
          <w:szCs w:val="32"/>
          <w:lang w:val="en-US" w:eastAsia="zh-CN"/>
        </w:rPr>
      </w:pPr>
      <w:r>
        <w:rPr>
          <w:rFonts w:hint="eastAsia" w:ascii="宋体" w:hAnsi="宋体"/>
          <w:spacing w:val="84"/>
          <w:sz w:val="32"/>
          <w:szCs w:val="32"/>
        </w:rPr>
        <w:t>签订地点:</w:t>
      </w:r>
      <w:r>
        <w:rPr>
          <w:rFonts w:hint="eastAsia" w:ascii="宋体" w:hAnsi="宋体"/>
          <w:sz w:val="32"/>
          <w:szCs w:val="32"/>
        </w:rPr>
        <w:t>广西百色市</w:t>
      </w:r>
      <w:r>
        <w:rPr>
          <w:rFonts w:hint="eastAsia" w:ascii="宋体" w:hAnsi="宋体"/>
          <w:sz w:val="32"/>
          <w:szCs w:val="32"/>
          <w:lang w:val="en-US" w:eastAsia="zh-CN"/>
        </w:rPr>
        <w:t>田阳区</w:t>
      </w:r>
    </w:p>
    <w:p>
      <w:pPr>
        <w:tabs>
          <w:tab w:val="left" w:pos="567"/>
        </w:tabs>
        <w:snapToGrid w:val="0"/>
        <w:spacing w:beforeLines="50" w:afterLines="50" w:line="440" w:lineRule="exact"/>
        <w:ind w:firstLine="732" w:firstLineChars="150"/>
        <w:rPr>
          <w:rFonts w:ascii="宋体" w:hAnsi="宋体"/>
          <w:spacing w:val="84"/>
          <w:sz w:val="32"/>
          <w:szCs w:val="32"/>
        </w:rPr>
      </w:pPr>
      <w:r>
        <w:rPr>
          <w:rFonts w:hint="eastAsia" w:ascii="宋体" w:hAnsi="宋体"/>
          <w:spacing w:val="84"/>
          <w:sz w:val="32"/>
          <w:szCs w:val="32"/>
        </w:rPr>
        <w:t>签订时间:</w:t>
      </w:r>
      <w:r>
        <w:rPr>
          <w:rFonts w:hint="eastAsia" w:ascii="宋体" w:hAnsi="宋体"/>
          <w:sz w:val="32"/>
          <w:szCs w:val="32"/>
        </w:rPr>
        <w:t>202</w:t>
      </w:r>
      <w:r>
        <w:rPr>
          <w:rFonts w:hint="eastAsia" w:ascii="宋体" w:hAnsi="宋体"/>
          <w:sz w:val="32"/>
          <w:szCs w:val="32"/>
          <w:lang w:val="en-US" w:eastAsia="zh-CN"/>
        </w:rPr>
        <w:t xml:space="preserve">  </w:t>
      </w:r>
      <w:r>
        <w:rPr>
          <w:rFonts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pacing w:val="84"/>
          <w:sz w:val="32"/>
          <w:szCs w:val="32"/>
        </w:rPr>
        <w:t xml:space="preserve">                           </w:t>
      </w:r>
    </w:p>
    <w:p>
      <w:pPr>
        <w:snapToGrid w:val="0"/>
        <w:spacing w:beforeLines="50" w:afterLines="50" w:line="440" w:lineRule="exact"/>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pStyle w:val="2"/>
        <w:rPr>
          <w:rFonts w:ascii="黑体" w:hAnsi="宋体" w:eastAsia="黑体"/>
          <w:szCs w:val="21"/>
        </w:rPr>
      </w:pPr>
    </w:p>
    <w:p>
      <w:pPr>
        <w:adjustRightInd w:val="0"/>
        <w:snapToGrid w:val="0"/>
        <w:spacing w:beforeLines="100" w:afterLines="100" w:line="440" w:lineRule="exact"/>
        <w:jc w:val="center"/>
        <w:rPr>
          <w:rFonts w:asciiTheme="majorEastAsia" w:hAnsiTheme="majorEastAsia" w:eastAsiaTheme="majorEastAsia"/>
          <w:b/>
          <w:bCs/>
          <w:color w:val="000000"/>
          <w:sz w:val="44"/>
          <w:szCs w:val="44"/>
        </w:rPr>
      </w:pPr>
      <w:bookmarkStart w:id="4" w:name="_GoBack"/>
      <w:bookmarkEnd w:id="4"/>
      <w:r>
        <w:rPr>
          <w:rFonts w:hint="eastAsia" w:asciiTheme="majorEastAsia" w:hAnsiTheme="majorEastAsia" w:eastAsiaTheme="majorEastAsia"/>
          <w:b/>
          <w:bCs/>
          <w:color w:val="000000"/>
          <w:sz w:val="44"/>
          <w:szCs w:val="44"/>
        </w:rPr>
        <w:t>施工合同</w:t>
      </w:r>
    </w:p>
    <w:p>
      <w:pPr>
        <w:spacing w:beforeLines="50" w:afterLines="50" w:line="440" w:lineRule="exact"/>
        <w:ind w:firstLine="482" w:firstLineChars="200"/>
        <w:rPr>
          <w:rFonts w:cs="Arial" w:asciiTheme="majorEastAsia" w:hAnsiTheme="majorEastAsia" w:eastAsiaTheme="majorEastAsia"/>
          <w:b/>
          <w:bCs/>
          <w:sz w:val="24"/>
          <w:szCs w:val="24"/>
        </w:rPr>
      </w:pPr>
      <w:r>
        <w:rPr>
          <w:rFonts w:hint="eastAsia" w:cs="Arial" w:asciiTheme="majorEastAsia" w:hAnsiTheme="majorEastAsia" w:eastAsiaTheme="majorEastAsia"/>
          <w:b/>
          <w:bCs/>
          <w:sz w:val="24"/>
          <w:szCs w:val="24"/>
        </w:rPr>
        <w:t>发包人：</w:t>
      </w:r>
      <w:r>
        <w:rPr>
          <w:rFonts w:hint="eastAsia" w:cs="Arial" w:asciiTheme="majorEastAsia" w:hAnsiTheme="majorEastAsia" w:eastAsiaTheme="majorEastAsia"/>
          <w:b/>
          <w:bCs/>
          <w:sz w:val="24"/>
          <w:szCs w:val="24"/>
          <w:u w:val="single"/>
        </w:rPr>
        <w:t xml:space="preserve"> </w:t>
      </w:r>
      <w:r>
        <w:rPr>
          <w:rFonts w:hint="eastAsia" w:cs="Arial" w:asciiTheme="majorEastAsia" w:hAnsiTheme="majorEastAsia" w:eastAsiaTheme="majorEastAsia"/>
          <w:b/>
          <w:bCs/>
          <w:sz w:val="24"/>
          <w:szCs w:val="24"/>
          <w:u w:val="single"/>
          <w:lang w:val="en-US" w:eastAsia="zh-CN"/>
        </w:rPr>
        <w:t>百色百矿发电有限公司</w:t>
      </w:r>
      <w:r>
        <w:rPr>
          <w:rFonts w:hint="eastAsia" w:cs="Arial" w:asciiTheme="majorEastAsia" w:hAnsiTheme="majorEastAsia" w:eastAsiaTheme="majorEastAsia"/>
          <w:b/>
          <w:bCs/>
          <w:sz w:val="24"/>
          <w:szCs w:val="24"/>
          <w:u w:val="single"/>
        </w:rPr>
        <w:t xml:space="preserve"> （甲方）</w:t>
      </w:r>
    </w:p>
    <w:p>
      <w:pPr>
        <w:spacing w:beforeLines="50" w:afterLines="50" w:line="440" w:lineRule="exact"/>
        <w:ind w:firstLine="482" w:firstLineChars="200"/>
        <w:rPr>
          <w:rFonts w:cs="Arial" w:asciiTheme="majorEastAsia" w:hAnsiTheme="majorEastAsia" w:eastAsiaTheme="majorEastAsia"/>
          <w:b/>
          <w:bCs/>
          <w:sz w:val="24"/>
          <w:szCs w:val="24"/>
        </w:rPr>
      </w:pPr>
      <w:r>
        <w:rPr>
          <w:rFonts w:hint="eastAsia" w:cs="Arial" w:asciiTheme="majorEastAsia" w:hAnsiTheme="majorEastAsia" w:eastAsiaTheme="majorEastAsia"/>
          <w:b/>
          <w:bCs/>
          <w:sz w:val="24"/>
          <w:szCs w:val="24"/>
        </w:rPr>
        <w:t>承包人：</w:t>
      </w:r>
      <w:r>
        <w:rPr>
          <w:rFonts w:hint="eastAsia" w:cs="Arial" w:asciiTheme="majorEastAsia" w:hAnsiTheme="majorEastAsia" w:eastAsiaTheme="majorEastAsia"/>
          <w:b/>
          <w:bCs/>
          <w:sz w:val="24"/>
          <w:szCs w:val="24"/>
          <w:u w:val="single"/>
        </w:rPr>
        <w:t xml:space="preserve"> </w:t>
      </w:r>
      <w:r>
        <w:rPr>
          <w:rFonts w:hint="eastAsia" w:cs="Arial" w:asciiTheme="majorEastAsia" w:hAnsiTheme="majorEastAsia" w:eastAsiaTheme="majorEastAsia"/>
          <w:b/>
          <w:bCs/>
          <w:sz w:val="24"/>
          <w:szCs w:val="24"/>
          <w:u w:val="single"/>
          <w:lang w:val="en-US" w:eastAsia="zh-CN"/>
        </w:rPr>
        <w:t xml:space="preserve">                     </w:t>
      </w:r>
      <w:r>
        <w:rPr>
          <w:rFonts w:hint="eastAsia" w:cs="Arial" w:asciiTheme="majorEastAsia" w:hAnsiTheme="majorEastAsia" w:eastAsiaTheme="majorEastAsia"/>
          <w:b/>
          <w:bCs/>
          <w:sz w:val="24"/>
          <w:szCs w:val="24"/>
          <w:u w:val="single"/>
        </w:rPr>
        <w:t>（乙方）</w:t>
      </w:r>
    </w:p>
    <w:p>
      <w:pPr>
        <w:widowControl/>
        <w:spacing w:beforeLines="50" w:afterLines="50" w:line="440" w:lineRule="exact"/>
        <w:ind w:firstLine="422" w:firstLineChars="200"/>
        <w:jc w:val="left"/>
        <w:rPr>
          <w:rFonts w:ascii="宋体" w:hAnsi="宋体"/>
          <w:b/>
          <w:szCs w:val="21"/>
        </w:rPr>
      </w:pPr>
    </w:p>
    <w:p>
      <w:pPr>
        <w:tabs>
          <w:tab w:val="left" w:pos="8460"/>
        </w:tabs>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根据《中华人民共和国民法典》及相关法律法规的规定，经友好协商，就甲方委托乙方进行百矿电厂2023年#2机组C修#2锅炉返料器金属膨胀节更换项目事宜签订本合同。本合同包含专用条款与通用条款两部分，均为本合同不可分割的一部分。双方本着自愿公平、诚实信用的原则，签订本合同。</w:t>
      </w:r>
    </w:p>
    <w:p>
      <w:pPr>
        <w:tabs>
          <w:tab w:val="left" w:pos="8460"/>
        </w:tabs>
        <w:adjustRightInd w:val="0"/>
        <w:snapToGrid w:val="0"/>
        <w:spacing w:beforeLines="50" w:afterLines="50" w:line="440" w:lineRule="exact"/>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专用条款</w:t>
      </w:r>
    </w:p>
    <w:p>
      <w:pPr>
        <w:tabs>
          <w:tab w:val="left" w:pos="540"/>
          <w:tab w:val="left" w:pos="720"/>
        </w:tabs>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项目概况</w:t>
      </w:r>
    </w:p>
    <w:p>
      <w:pPr>
        <w:tabs>
          <w:tab w:val="left" w:pos="7560"/>
        </w:tabs>
        <w:adjustRightInd w:val="0"/>
        <w:snapToGrid w:val="0"/>
        <w:spacing w:beforeLines="50" w:afterLines="50" w:line="440" w:lineRule="exact"/>
        <w:ind w:firstLine="480" w:firstLineChars="200"/>
        <w:rPr>
          <w:rFonts w:asciiTheme="minorEastAsia" w:hAnsiTheme="minorEastAsia" w:eastAsiaTheme="minorEastAsia"/>
          <w:bCs/>
          <w:sz w:val="24"/>
          <w:szCs w:val="24"/>
          <w:u w:val="single"/>
        </w:rPr>
      </w:pPr>
      <w:r>
        <w:rPr>
          <w:rFonts w:asciiTheme="minorEastAsia" w:hAnsiTheme="minorEastAsia" w:eastAsiaTheme="minorEastAsia"/>
          <w:sz w:val="24"/>
          <w:szCs w:val="24"/>
        </w:rPr>
        <w:t>1.1项目名称：</w:t>
      </w:r>
      <w:r>
        <w:rPr>
          <w:rFonts w:hint="eastAsia" w:asciiTheme="minorEastAsia" w:hAnsiTheme="minorEastAsia" w:eastAsiaTheme="minorEastAsia"/>
          <w:sz w:val="24"/>
          <w:szCs w:val="24"/>
          <w:u w:val="single"/>
        </w:rPr>
        <w:t>百矿电厂2023年#2机组C修#2锅炉返料器金属膨胀节更换</w:t>
      </w:r>
      <w:r>
        <w:rPr>
          <w:rFonts w:hint="eastAsia" w:asciiTheme="minorEastAsia" w:hAnsiTheme="minorEastAsia" w:eastAsiaTheme="minorEastAsia"/>
          <w:sz w:val="24"/>
          <w:szCs w:val="24"/>
          <w:lang w:val="en-US" w:eastAsia="zh-CN"/>
        </w:rPr>
        <w:t xml:space="preserve"> </w:t>
      </w:r>
    </w:p>
    <w:p>
      <w:pPr>
        <w:tabs>
          <w:tab w:val="left" w:pos="7560"/>
        </w:tabs>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项目地址：</w:t>
      </w:r>
      <w:r>
        <w:rPr>
          <w:rFonts w:asciiTheme="minorEastAsia" w:hAnsiTheme="minorEastAsia" w:eastAsiaTheme="minorEastAsia"/>
          <w:sz w:val="24"/>
          <w:szCs w:val="24"/>
          <w:u w:val="single"/>
        </w:rPr>
        <w:t xml:space="preserve"> </w:t>
      </w:r>
      <w:r>
        <w:rPr>
          <w:rFonts w:hint="eastAsia" w:ascii="宋体" w:hAnsi="宋体" w:cs="宋体"/>
          <w:sz w:val="24"/>
          <w:szCs w:val="24"/>
          <w:u w:val="single"/>
          <w:lang w:val="en-US" w:eastAsia="zh-CN"/>
        </w:rPr>
        <w:t>田阳区头塘镇二塘村百矿发电厂</w:t>
      </w:r>
      <w:r>
        <w:rPr>
          <w:rFonts w:hint="eastAsia" w:asciiTheme="minorEastAsia" w:hAnsiTheme="minorEastAsia" w:eastAsiaTheme="minorEastAsia"/>
          <w:sz w:val="24"/>
          <w:szCs w:val="24"/>
          <w:u w:val="single"/>
        </w:rPr>
        <w:t>厂区内</w:t>
      </w:r>
      <w:r>
        <w:rPr>
          <w:rFonts w:asciiTheme="minorEastAsia" w:hAnsiTheme="minorEastAsia" w:eastAsiaTheme="minorEastAsia"/>
          <w:sz w:val="24"/>
          <w:szCs w:val="24"/>
        </w:rPr>
        <w:t xml:space="preserve">  </w:t>
      </w:r>
    </w:p>
    <w:p>
      <w:pPr>
        <w:tabs>
          <w:tab w:val="left" w:pos="8460"/>
        </w:tabs>
        <w:adjustRightInd w:val="0"/>
        <w:snapToGrid w:val="0"/>
        <w:spacing w:beforeLines="50" w:afterLines="50" w:line="440" w:lineRule="exact"/>
        <w:rPr>
          <w:rFonts w:asciiTheme="minorEastAsia" w:hAnsiTheme="minorEastAsia" w:eastAsiaTheme="minorEastAsia" w:cstheme="minorEastAsia"/>
          <w:b/>
          <w:sz w:val="24"/>
          <w:szCs w:val="24"/>
        </w:rPr>
      </w:pPr>
      <w:bookmarkStart w:id="0" w:name="授予合同"/>
      <w:r>
        <w:rPr>
          <w:rFonts w:hint="eastAsia" w:asciiTheme="minorEastAsia" w:hAnsiTheme="minorEastAsia" w:eastAsiaTheme="minorEastAsia" w:cstheme="minorEastAsia"/>
          <w:b/>
          <w:sz w:val="24"/>
          <w:szCs w:val="24"/>
        </w:rPr>
        <w:t>第二条 项目承接方式、范围</w:t>
      </w:r>
      <w:bookmarkEnd w:id="0"/>
      <w:r>
        <w:rPr>
          <w:rFonts w:hint="eastAsia" w:asciiTheme="minorEastAsia" w:hAnsiTheme="minorEastAsia" w:eastAsiaTheme="minorEastAsia" w:cstheme="minorEastAsia"/>
          <w:b/>
          <w:sz w:val="24"/>
          <w:szCs w:val="24"/>
        </w:rPr>
        <w:t>与技术要求</w:t>
      </w:r>
    </w:p>
    <w:p>
      <w:pPr>
        <w:tabs>
          <w:tab w:val="left" w:pos="8460"/>
        </w:tabs>
        <w:adjustRightInd w:val="0"/>
        <w:snapToGrid w:val="0"/>
        <w:spacing w:beforeLines="50" w:afterLines="50" w:line="44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w:t>
      </w:r>
      <w:r>
        <w:rPr>
          <w:rFonts w:hint="eastAsia" w:asciiTheme="minorEastAsia" w:hAnsiTheme="minorEastAsia" w:eastAsiaTheme="minorEastAsia" w:cstheme="minorEastAsia"/>
          <w:sz w:val="24"/>
          <w:szCs w:val="24"/>
        </w:rPr>
        <w:t>项目承接方式、范围</w:t>
      </w:r>
    </w:p>
    <w:p>
      <w:pPr>
        <w:tabs>
          <w:tab w:val="left" w:pos="8460"/>
        </w:tabs>
        <w:adjustRightInd w:val="0"/>
        <w:snapToGrid w:val="0"/>
        <w:spacing w:beforeLines="50" w:afterLines="50"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2.1.1本合同采用</w:t>
      </w:r>
      <w:r>
        <w:rPr>
          <w:rFonts w:hint="eastAsia" w:asciiTheme="minorEastAsia" w:hAnsiTheme="minorEastAsia" w:eastAsiaTheme="minorEastAsia" w:cstheme="minorEastAsia"/>
          <w:bCs/>
          <w:iCs/>
          <w:color w:val="auto"/>
          <w:sz w:val="24"/>
          <w:szCs w:val="24"/>
          <w:u w:val="single"/>
        </w:rPr>
        <w:t>固定总价</w:t>
      </w:r>
      <w:r>
        <w:rPr>
          <w:rFonts w:hint="eastAsia" w:asciiTheme="minorEastAsia" w:hAnsiTheme="minorEastAsia" w:eastAsiaTheme="minorEastAsia" w:cstheme="minorEastAsia"/>
          <w:bCs/>
          <w:color w:val="auto"/>
          <w:sz w:val="24"/>
          <w:szCs w:val="24"/>
        </w:rPr>
        <w:t>的方式签订。</w:t>
      </w:r>
    </w:p>
    <w:p>
      <w:pPr>
        <w:adjustRightInd w:val="0"/>
        <w:snapToGrid w:val="0"/>
        <w:spacing w:beforeLines="50" w:afterLines="50" w:line="44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2.1.2项目具体范围如下：</w:t>
      </w:r>
    </w:p>
    <w:tbl>
      <w:tblPr>
        <w:tblStyle w:val="18"/>
        <w:tblW w:w="8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25"/>
        <w:gridCol w:w="2580"/>
        <w:gridCol w:w="804"/>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施工</w:t>
            </w:r>
            <w:r>
              <w:rPr>
                <w:rFonts w:hint="eastAsia" w:ascii="宋体" w:hAnsi="宋体" w:eastAsia="宋体" w:cs="宋体"/>
                <w:i w:val="0"/>
                <w:iCs w:val="0"/>
                <w:color w:val="auto"/>
                <w:kern w:val="0"/>
                <w:sz w:val="22"/>
                <w:szCs w:val="22"/>
                <w:highlight w:val="none"/>
                <w:u w:val="none"/>
                <w:lang w:val="en-US" w:eastAsia="zh-CN" w:bidi="ar"/>
              </w:rPr>
              <w:t>名称</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规格型号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安装</w:t>
            </w:r>
            <w:r>
              <w:rPr>
                <w:rFonts w:hint="eastAsia" w:ascii="宋体" w:hAnsi="宋体" w:eastAsia="宋体" w:cs="宋体"/>
                <w:i w:val="0"/>
                <w:iCs w:val="0"/>
                <w:color w:val="auto"/>
                <w:sz w:val="22"/>
                <w:szCs w:val="22"/>
                <w:highlight w:val="none"/>
                <w:u w:val="none"/>
              </w:rPr>
              <w:t>数量</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before="78" w:beforeLines="25" w:after="78" w:afterLines="25" w:line="400" w:lineRule="exact"/>
              <w:ind w:firstLine="480" w:firstLineChars="200"/>
              <w:jc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微软雅黑"/>
                <w:kern w:val="0"/>
                <w:sz w:val="24"/>
                <w:szCs w:val="24"/>
              </w:rPr>
              <w:t>工作量备注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百矿电厂#2锅炉返料器金属膨胀节更换</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rPr>
              <w:t>尺寸：2490*1620*14  双层6波波纹管：厚度2 0Cr25NI20  6+6中间接管 上下封面环板 波高80mm 波距80mm 轴向补偿量+350mm 径向补偿量±100mm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rPr>
              <w:t>6套</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255"/>
                <w:numId w:val="0"/>
              </w:numPr>
              <w:spacing w:line="400" w:lineRule="exact"/>
              <w:ind w:left="0" w:leftChars="0" w:firstLine="480" w:firstLineChars="200"/>
              <w:jc w:val="left"/>
              <w:rPr>
                <w:rFonts w:hint="eastAsia" w:ascii="宋体" w:hAnsi="宋体" w:eastAsia="宋体" w:cs="宋体"/>
                <w:i w:val="0"/>
                <w:iCs w:val="0"/>
                <w:color w:val="auto"/>
                <w:sz w:val="24"/>
                <w:szCs w:val="24"/>
                <w:highlight w:val="none"/>
                <w:u w:val="none"/>
              </w:rPr>
            </w:pPr>
            <w:r>
              <w:rPr>
                <w:rFonts w:hint="eastAsia" w:ascii="宋体" w:hAnsi="宋体" w:eastAsia="宋体" w:cs="微软雅黑"/>
                <w:color w:val="000000" w:themeColor="text1"/>
                <w:kern w:val="0"/>
                <w:sz w:val="24"/>
                <w:szCs w:val="24"/>
                <w14:textFill>
                  <w14:solidFill>
                    <w14:schemeClr w14:val="tx1"/>
                  </w14:solidFill>
                </w14:textFill>
              </w:rPr>
              <w:t>更换返料器斜腿段拉裂漏灰的6套金属膨胀节和碳化钢板，包括外部密封箱子和填充浇筑的拆除。（不包括料腿和金属膨胀节内部的浇筑料的拆除和恢复）</w:t>
            </w:r>
          </w:p>
        </w:tc>
      </w:tr>
    </w:tbl>
    <w:p>
      <w:pPr>
        <w:adjustRightInd w:val="0"/>
        <w:snapToGrid w:val="0"/>
        <w:spacing w:before="156" w:beforeLines="50" w:after="156" w:afterLines="50"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施工所涉及到的工器具全部由乙方自行提供。</w:t>
      </w:r>
      <w:r>
        <w:rPr>
          <w:rFonts w:hint="eastAsia" w:asciiTheme="minorEastAsia" w:hAnsiTheme="minorEastAsia" w:eastAsiaTheme="minorEastAsia" w:cstheme="minorEastAsia"/>
          <w:color w:val="auto"/>
          <w:sz w:val="24"/>
          <w:szCs w:val="24"/>
          <w:highlight w:val="none"/>
        </w:rPr>
        <w:t xml:space="preserve">    </w:t>
      </w:r>
    </w:p>
    <w:p>
      <w:pPr>
        <w:adjustRightInd w:val="0"/>
        <w:snapToGrid w:val="0"/>
        <w:spacing w:before="156" w:beforeLines="50" w:after="156" w:afterLines="50"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2.2</w:t>
      </w:r>
      <w:r>
        <w:rPr>
          <w:rFonts w:hint="eastAsia" w:asciiTheme="minorEastAsia" w:hAnsiTheme="minorEastAsia" w:eastAsiaTheme="minorEastAsia" w:cstheme="minorEastAsia"/>
          <w:color w:val="auto"/>
          <w:sz w:val="24"/>
          <w:szCs w:val="24"/>
          <w:highlight w:val="none"/>
        </w:rPr>
        <w:t>项目总工期</w:t>
      </w:r>
    </w:p>
    <w:p>
      <w:pPr>
        <w:adjustRightInd w:val="0"/>
        <w:snapToGrid w:val="0"/>
        <w:spacing w:before="156" w:beforeLines="50" w:after="156" w:afterLines="50"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合同工期：</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日历天。合同工期已含各专业分包交叉施工以及国家法定节假日。</w:t>
      </w:r>
    </w:p>
    <w:p>
      <w:pPr>
        <w:adjustRightInd w:val="0"/>
        <w:snapToGrid w:val="0"/>
        <w:spacing w:beforeLines="50" w:afterLines="50"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技术要求及标准 </w:t>
      </w:r>
    </w:p>
    <w:p>
      <w:pPr>
        <w:jc w:val="left"/>
        <w:rPr>
          <w:rFonts w:hint="eastAsia" w:asciiTheme="minorEastAsia" w:hAnsiTheme="minorEastAsia" w:eastAsiaTheme="minorEastAsia"/>
          <w:sz w:val="24"/>
          <w:szCs w:val="24"/>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sz w:val="24"/>
          <w:szCs w:val="24"/>
        </w:rPr>
        <w:t>甲方技术要求及标准具体详见附件《</w:t>
      </w:r>
      <w:bookmarkStart w:id="1" w:name="_Hlk137892935"/>
      <w:r>
        <w:rPr>
          <w:rFonts w:hint="eastAsia" w:asciiTheme="minorEastAsia" w:hAnsiTheme="minorEastAsia" w:eastAsiaTheme="minorEastAsia"/>
          <w:sz w:val="24"/>
          <w:szCs w:val="24"/>
        </w:rPr>
        <w:t>百色百矿发电有限公司2023年#2机组C修#2锅炉返料器金属膨胀节更换项目</w:t>
      </w:r>
      <w:bookmarkEnd w:id="1"/>
      <w:r>
        <w:rPr>
          <w:rFonts w:hint="eastAsia" w:asciiTheme="minorEastAsia" w:hAnsiTheme="minorEastAsia" w:eastAsiaTheme="minorEastAsia"/>
          <w:sz w:val="24"/>
          <w:szCs w:val="24"/>
        </w:rPr>
        <w:t>技术规范书》。</w:t>
      </w:r>
    </w:p>
    <w:p>
      <w:pPr>
        <w:tabs>
          <w:tab w:val="left" w:pos="8460"/>
        </w:tabs>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合同价格</w:t>
      </w:r>
    </w:p>
    <w:p>
      <w:pPr>
        <w:autoSpaceDE w:val="0"/>
        <w:autoSpaceDN w:val="0"/>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1合同总价：</w:t>
      </w:r>
    </w:p>
    <w:p>
      <w:pPr>
        <w:autoSpaceDE w:val="0"/>
        <w:autoSpaceDN w:val="0"/>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本项目合同总金</w:t>
      </w:r>
      <w:r>
        <w:rPr>
          <w:rFonts w:asciiTheme="minorEastAsia" w:hAnsiTheme="minorEastAsia" w:eastAsiaTheme="minorEastAsia"/>
          <w:sz w:val="24"/>
          <w:szCs w:val="24"/>
        </w:rPr>
        <w:t>额</w:t>
      </w:r>
      <w:r>
        <w:rPr>
          <w:rFonts w:hint="eastAsia" w:asciiTheme="minorEastAsia" w:hAnsiTheme="minorEastAsia" w:eastAsiaTheme="minorEastAsia"/>
          <w:sz w:val="24"/>
          <w:szCs w:val="24"/>
        </w:rPr>
        <w:t>为¥</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，大写（人民币：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，上述价格包含【</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13</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%的增值税</w:t>
      </w:r>
      <w:r>
        <w:rPr>
          <w:rFonts w:hint="eastAsia" w:asciiTheme="minorEastAsia" w:hAnsiTheme="minorEastAsia" w:eastAsiaTheme="minorEastAsia"/>
          <w:sz w:val="24"/>
          <w:szCs w:val="24"/>
        </w:rPr>
        <w:t>。若遇国家增值税税率调整，应按调整后最新税率的金额调整相应的支付款项，即合同不含税价格不受国家增值税率调整的影响。</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2本工程总价已包含施工材料、施工设备、人工、管理、保险、利润、税金及所有风险、责任等一切费用。</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.3如因甲方需求变更导致变更</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双方</w:t>
      </w:r>
      <w:r>
        <w:rPr>
          <w:rFonts w:asciiTheme="minorEastAsia" w:hAnsiTheme="minorEastAsia" w:eastAsiaTheme="minorEastAsia"/>
          <w:sz w:val="24"/>
          <w:szCs w:val="24"/>
        </w:rPr>
        <w:t>重新</w:t>
      </w:r>
      <w:r>
        <w:rPr>
          <w:rFonts w:hint="eastAsia" w:asciiTheme="minorEastAsia" w:hAnsiTheme="minorEastAsia" w:eastAsiaTheme="minorEastAsia"/>
          <w:sz w:val="24"/>
          <w:szCs w:val="24"/>
        </w:rPr>
        <w:t>协商确定</w:t>
      </w:r>
      <w:r>
        <w:rPr>
          <w:rFonts w:asciiTheme="minorEastAsia" w:hAnsiTheme="minorEastAsia" w:eastAsiaTheme="minorEastAsia"/>
          <w:sz w:val="24"/>
          <w:szCs w:val="24"/>
        </w:rPr>
        <w:t>变更方案</w:t>
      </w:r>
      <w:r>
        <w:rPr>
          <w:rFonts w:hint="eastAsia" w:asciiTheme="minorEastAsia" w:hAnsiTheme="minorEastAsia" w:eastAsiaTheme="minorEastAsia"/>
          <w:sz w:val="24"/>
          <w:szCs w:val="24"/>
        </w:rPr>
        <w:t>及</w:t>
      </w:r>
      <w:r>
        <w:rPr>
          <w:rFonts w:asciiTheme="minorEastAsia" w:hAnsiTheme="minorEastAsia" w:eastAsiaTheme="minorEastAsia"/>
          <w:sz w:val="24"/>
          <w:szCs w:val="24"/>
        </w:rPr>
        <w:t>项目进度，</w:t>
      </w:r>
      <w:r>
        <w:rPr>
          <w:rFonts w:hint="eastAsia" w:asciiTheme="minorEastAsia" w:hAnsiTheme="minorEastAsia" w:eastAsiaTheme="minorEastAsia"/>
          <w:sz w:val="24"/>
          <w:szCs w:val="24"/>
        </w:rPr>
        <w:t>此</w:t>
      </w:r>
      <w:r>
        <w:rPr>
          <w:rFonts w:asciiTheme="minorEastAsia" w:hAnsiTheme="minorEastAsia" w:eastAsiaTheme="minorEastAsia"/>
          <w:sz w:val="24"/>
          <w:szCs w:val="24"/>
        </w:rPr>
        <w:t>变更影响本合同价款的，</w:t>
      </w:r>
      <w:r>
        <w:rPr>
          <w:rFonts w:hint="eastAsia" w:asciiTheme="minorEastAsia" w:hAnsiTheme="minorEastAsia" w:eastAsiaTheme="minorEastAsia"/>
          <w:sz w:val="24"/>
          <w:szCs w:val="24"/>
        </w:rPr>
        <w:t>甲方</w:t>
      </w:r>
      <w:r>
        <w:rPr>
          <w:rFonts w:asciiTheme="minorEastAsia" w:hAnsiTheme="minorEastAsia" w:eastAsiaTheme="minorEastAsia"/>
          <w:sz w:val="24"/>
          <w:szCs w:val="24"/>
        </w:rPr>
        <w:t>有权与</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 xml:space="preserve">另行议价并签订补充协议。 </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付款方式：</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w:t>
      </w:r>
      <w:r>
        <w:rPr>
          <w:rFonts w:hint="eastAsia" w:asciiTheme="minorEastAsia" w:hAnsiTheme="minorEastAsia" w:eastAsiaTheme="minorEastAsia"/>
          <w:sz w:val="24"/>
          <w:szCs w:val="24"/>
        </w:rPr>
        <w:t>本工程付款方式：</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4.1.1本工程竣工并验收合格后付至合同价的95%，即支付</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），留合同价的5%即人民币</w:t>
      </w:r>
      <w:r>
        <w:rPr>
          <w:rFonts w:hint="eastAsia" w:ascii="宋体" w:hAnsi="宋体" w:cs="宋体"/>
          <w:i w:val="0"/>
          <w:color w:val="000000"/>
          <w:kern w:val="0"/>
          <w:sz w:val="24"/>
          <w:szCs w:val="24"/>
          <w:u w:val="none"/>
          <w:lang w:val="en-US" w:eastAsia="zh-CN" w:bidi="ar"/>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）作为工程质量保证金，项目竣工验收合格之日起满[1]年无质量问题的，30日内无息退还质量保证金；如[1]年内出现质量问题的，则待质量问题返修验收合格之日起满[1]年后无息退还质量保证金，以此类推。</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1.2乙方完成</w:t>
      </w:r>
      <w:r>
        <w:rPr>
          <w:rFonts w:asciiTheme="minorEastAsia" w:hAnsiTheme="minorEastAsia" w:eastAsiaTheme="minorEastAsia"/>
          <w:sz w:val="24"/>
          <w:szCs w:val="24"/>
        </w:rPr>
        <w:t>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并</w:t>
      </w:r>
      <w:r>
        <w:rPr>
          <w:rFonts w:hint="eastAsia" w:asciiTheme="minorEastAsia" w:hAnsiTheme="minorEastAsia" w:eastAsiaTheme="minorEastAsia"/>
          <w:sz w:val="24"/>
          <w:szCs w:val="24"/>
        </w:rPr>
        <w:t>按</w:t>
      </w:r>
      <w:r>
        <w:rPr>
          <w:rFonts w:asciiTheme="minorEastAsia" w:hAnsiTheme="minorEastAsia" w:eastAsiaTheme="minorEastAsia"/>
          <w:sz w:val="24"/>
          <w:szCs w:val="24"/>
        </w:rPr>
        <w:t>甲方要求提供</w:t>
      </w:r>
      <w:r>
        <w:rPr>
          <w:rFonts w:hint="eastAsia" w:asciiTheme="minorEastAsia" w:hAnsiTheme="minorEastAsia" w:eastAsiaTheme="minorEastAsia"/>
          <w:sz w:val="24"/>
          <w:szCs w:val="24"/>
        </w:rPr>
        <w:t>验收材料</w:t>
      </w:r>
      <w:r>
        <w:rPr>
          <w:rFonts w:asciiTheme="minorEastAsia" w:hAnsiTheme="minorEastAsia" w:eastAsiaTheme="minorEastAsia"/>
          <w:sz w:val="24"/>
          <w:szCs w:val="24"/>
        </w:rPr>
        <w:t>，经甲方验收合格</w:t>
      </w:r>
      <w:r>
        <w:rPr>
          <w:rFonts w:hint="eastAsia" w:asciiTheme="minorEastAsia" w:hAnsiTheme="minorEastAsia" w:eastAsiaTheme="minorEastAsia"/>
          <w:sz w:val="24"/>
          <w:szCs w:val="24"/>
        </w:rPr>
        <w:t>经</w:t>
      </w:r>
      <w:r>
        <w:rPr>
          <w:rFonts w:asciiTheme="minorEastAsia" w:hAnsiTheme="minorEastAsia" w:eastAsiaTheme="minorEastAsia"/>
          <w:sz w:val="24"/>
          <w:szCs w:val="24"/>
        </w:rPr>
        <w:t>甲方项目负责人签字确认后，</w:t>
      </w:r>
      <w:r>
        <w:rPr>
          <w:rFonts w:hint="eastAsia" w:asciiTheme="minorEastAsia" w:hAnsiTheme="minorEastAsia" w:eastAsiaTheme="minorEastAsia"/>
          <w:sz w:val="24"/>
          <w:szCs w:val="24"/>
        </w:rPr>
        <w:t>乙方</w:t>
      </w:r>
      <w:r>
        <w:rPr>
          <w:rFonts w:asciiTheme="minorEastAsia" w:hAnsiTheme="minorEastAsia" w:eastAsiaTheme="minorEastAsia"/>
          <w:sz w:val="24"/>
          <w:szCs w:val="24"/>
        </w:rPr>
        <w:t>按照双方约定金额开具增值税专用</w:t>
      </w:r>
      <w:r>
        <w:rPr>
          <w:rFonts w:hint="eastAsia" w:asciiTheme="minorEastAsia" w:hAnsiTheme="minorEastAsia" w:eastAsiaTheme="minorEastAsia"/>
          <w:sz w:val="24"/>
          <w:szCs w:val="24"/>
        </w:rPr>
        <w:t>发票</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收到</w:t>
      </w:r>
      <w:r>
        <w:rPr>
          <w:rFonts w:asciiTheme="minorEastAsia" w:hAnsiTheme="minorEastAsia" w:eastAsiaTheme="minorEastAsia"/>
          <w:sz w:val="24"/>
          <w:szCs w:val="24"/>
        </w:rPr>
        <w:t>乙方发票</w:t>
      </w:r>
      <w:r>
        <w:rPr>
          <w:rFonts w:hint="eastAsia" w:asciiTheme="minorEastAsia" w:hAnsiTheme="minorEastAsia" w:eastAsiaTheme="minorEastAsia"/>
          <w:sz w:val="24"/>
          <w:szCs w:val="24"/>
        </w:rPr>
        <w:t>后30个</w:t>
      </w:r>
      <w:r>
        <w:rPr>
          <w:rFonts w:asciiTheme="minorEastAsia" w:hAnsiTheme="minorEastAsia" w:eastAsiaTheme="minorEastAsia"/>
          <w:sz w:val="24"/>
          <w:szCs w:val="24"/>
        </w:rPr>
        <w:t>工作日内付款。</w:t>
      </w:r>
      <w:r>
        <w:rPr>
          <w:rFonts w:hint="eastAsia" w:asciiTheme="minorEastAsia" w:hAnsiTheme="minorEastAsia" w:eastAsiaTheme="minorEastAsia"/>
          <w:sz w:val="24"/>
          <w:szCs w:val="24"/>
        </w:rPr>
        <w:t>乙方未</w:t>
      </w:r>
      <w:r>
        <w:rPr>
          <w:rFonts w:asciiTheme="minorEastAsia" w:hAnsiTheme="minorEastAsia" w:eastAsiaTheme="minorEastAsia"/>
          <w:sz w:val="24"/>
          <w:szCs w:val="24"/>
        </w:rPr>
        <w:t>开具发票或开具发票不</w:t>
      </w:r>
      <w:r>
        <w:rPr>
          <w:rFonts w:hint="eastAsia" w:asciiTheme="minorEastAsia" w:hAnsiTheme="minorEastAsia" w:eastAsiaTheme="minorEastAsia"/>
          <w:sz w:val="24"/>
          <w:szCs w:val="24"/>
        </w:rPr>
        <w:t>符合国家</w:t>
      </w:r>
      <w:r>
        <w:rPr>
          <w:rFonts w:asciiTheme="minorEastAsia" w:hAnsiTheme="minorEastAsia" w:eastAsiaTheme="minorEastAsia"/>
          <w:sz w:val="24"/>
          <w:szCs w:val="24"/>
        </w:rPr>
        <w:t>规定的，甲方</w:t>
      </w:r>
      <w:r>
        <w:rPr>
          <w:rFonts w:hint="eastAsia" w:asciiTheme="minorEastAsia" w:hAnsiTheme="minorEastAsia" w:eastAsiaTheme="minorEastAsia"/>
          <w:sz w:val="24"/>
          <w:szCs w:val="24"/>
        </w:rPr>
        <w:t>付款</w:t>
      </w:r>
      <w:r>
        <w:rPr>
          <w:rFonts w:asciiTheme="minorEastAsia" w:hAnsiTheme="minorEastAsia" w:eastAsiaTheme="minorEastAsia"/>
          <w:sz w:val="24"/>
          <w:szCs w:val="24"/>
        </w:rPr>
        <w:t>时间顺延并不承担逾期付款</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违约责任。</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乙方</w:t>
      </w:r>
      <w:r>
        <w:rPr>
          <w:rFonts w:asciiTheme="minorEastAsia" w:hAnsiTheme="minorEastAsia" w:eastAsiaTheme="minorEastAsia"/>
          <w:b/>
          <w:sz w:val="24"/>
          <w:szCs w:val="24"/>
        </w:rPr>
        <w:t>团队人</w:t>
      </w:r>
      <w:r>
        <w:rPr>
          <w:rFonts w:hint="eastAsia" w:asciiTheme="minorEastAsia" w:hAnsiTheme="minorEastAsia" w:eastAsiaTheme="minorEastAsia"/>
          <w:b/>
          <w:sz w:val="24"/>
          <w:szCs w:val="24"/>
        </w:rPr>
        <w:t>员</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 乙方</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委派</w:t>
      </w:r>
      <w:r>
        <w:rPr>
          <w:rFonts w:asciiTheme="minorEastAsia" w:hAnsiTheme="minorEastAsia" w:eastAsiaTheme="minorEastAsia"/>
          <w:sz w:val="24"/>
          <w:szCs w:val="24"/>
        </w:rPr>
        <w:t>现场代表</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sz w:val="24"/>
          <w:szCs w:val="24"/>
        </w:rPr>
        <w:t>，负责乙方施工期间工作范围内的施工质量和安全。如乙方现场代表变更，应事先经甲方同意。</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5.2乙方</w:t>
      </w:r>
      <w:r>
        <w:rPr>
          <w:rFonts w:asciiTheme="minorEastAsia" w:hAnsiTheme="minorEastAsia" w:eastAsiaTheme="minorEastAsia"/>
          <w:sz w:val="24"/>
          <w:szCs w:val="24"/>
        </w:rPr>
        <w:t>必须按照甲方</w:t>
      </w:r>
      <w:r>
        <w:rPr>
          <w:rFonts w:hint="eastAsia" w:asciiTheme="minorEastAsia" w:hAnsiTheme="minorEastAsia" w:eastAsiaTheme="minorEastAsia"/>
          <w:sz w:val="24"/>
          <w:szCs w:val="24"/>
        </w:rPr>
        <w:t>要求</w:t>
      </w:r>
      <w:r>
        <w:rPr>
          <w:rFonts w:asciiTheme="minorEastAsia" w:hAnsiTheme="minorEastAsia" w:eastAsiaTheme="minorEastAsia"/>
          <w:sz w:val="24"/>
          <w:szCs w:val="24"/>
        </w:rPr>
        <w:t>组建</w:t>
      </w:r>
      <w:r>
        <w:rPr>
          <w:rFonts w:hint="eastAsia" w:asciiTheme="minorEastAsia" w:hAnsiTheme="minorEastAsia" w:eastAsiaTheme="minorEastAsia"/>
          <w:sz w:val="24"/>
          <w:szCs w:val="24"/>
        </w:rPr>
        <w:t>施工管理人员团队</w:t>
      </w:r>
      <w:r>
        <w:rPr>
          <w:rFonts w:asciiTheme="minorEastAsia" w:hAnsiTheme="minorEastAsia" w:eastAsiaTheme="minorEastAsia"/>
          <w:sz w:val="24"/>
          <w:szCs w:val="24"/>
        </w:rPr>
        <w:t>，</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甲方同意，乙方不得擅自变更项</w:t>
      </w:r>
      <w:r>
        <w:rPr>
          <w:rFonts w:hint="eastAsia" w:asciiTheme="minorEastAsia" w:hAnsiTheme="minorEastAsia" w:eastAsiaTheme="minorEastAsia"/>
          <w:sz w:val="24"/>
          <w:szCs w:val="24"/>
        </w:rPr>
        <w:t>施工</w:t>
      </w:r>
      <w:r>
        <w:rPr>
          <w:rFonts w:asciiTheme="minorEastAsia" w:hAnsiTheme="minorEastAsia" w:eastAsiaTheme="minorEastAsia"/>
          <w:sz w:val="24"/>
          <w:szCs w:val="24"/>
        </w:rPr>
        <w:t>管理团队成员。</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第六</w:t>
      </w:r>
      <w:r>
        <w:rPr>
          <w:rFonts w:asciiTheme="minorEastAsia" w:hAnsiTheme="minorEastAsia" w:eastAsiaTheme="minorEastAsia"/>
          <w:b/>
          <w:sz w:val="24"/>
          <w:szCs w:val="24"/>
        </w:rPr>
        <w:t>条</w:t>
      </w:r>
      <w:r>
        <w:rPr>
          <w:rFonts w:hint="eastAsia" w:asciiTheme="minorEastAsia" w:hAnsiTheme="minorEastAsia" w:eastAsiaTheme="minorEastAsia"/>
          <w:b/>
          <w:sz w:val="24"/>
          <w:szCs w:val="24"/>
        </w:rPr>
        <w:t xml:space="preserve"> 质量保修</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6.1工程竣工验收合格之日起质保期开始，</w:t>
      </w:r>
      <w:r>
        <w:rPr>
          <w:rFonts w:hint="eastAsia" w:asciiTheme="minorEastAsia" w:hAnsiTheme="minorEastAsia" w:eastAsiaTheme="minorEastAsia"/>
          <w:color w:val="auto"/>
          <w:sz w:val="24"/>
          <w:szCs w:val="24"/>
          <w:highlight w:val="none"/>
        </w:rPr>
        <w:t>质量保修期为</w:t>
      </w:r>
      <w:r>
        <w:rPr>
          <w:rFonts w:hint="eastAsia" w:asciiTheme="minorEastAsia" w:hAnsiTheme="minorEastAsia" w:eastAsiaTheme="minorEastAsia"/>
          <w:color w:val="auto"/>
          <w:sz w:val="24"/>
          <w:szCs w:val="24"/>
          <w:highlight w:val="none"/>
          <w:u w:val="single"/>
        </w:rPr>
        <w:t xml:space="preserve"> 1 </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eastAsia="zh-CN"/>
        </w:rPr>
        <w:t>，且保证施焊部位焊层在任何条件下永久不起皮、不脱落</w:t>
      </w:r>
      <w:r>
        <w:rPr>
          <w:rFonts w:hint="eastAsia" w:asciiTheme="minorEastAsia" w:hAnsiTheme="minorEastAsia" w:eastAsiaTheme="minorEastAsia"/>
          <w:color w:val="auto"/>
          <w:sz w:val="24"/>
          <w:szCs w:val="24"/>
          <w:highlight w:val="none"/>
        </w:rPr>
        <w:t>。</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2保修期间如因乙方施工质量问题，乙方负责免费维修，甲方将在</w:t>
      </w:r>
      <w:r>
        <w:rPr>
          <w:rFonts w:asciiTheme="minorEastAsia" w:hAnsiTheme="minorEastAsia" w:eastAsiaTheme="minorEastAsia"/>
          <w:sz w:val="24"/>
          <w:szCs w:val="24"/>
        </w:rPr>
        <w:t>24</w:t>
      </w:r>
      <w:r>
        <w:rPr>
          <w:rFonts w:hint="eastAsia" w:asciiTheme="minorEastAsia" w:hAnsiTheme="minorEastAsia" w:eastAsiaTheme="minorEastAsia"/>
          <w:sz w:val="24"/>
          <w:szCs w:val="24"/>
        </w:rPr>
        <w:t>小时内及时通知乙方，乙方应在24小时内作出维修回应，并在72小时内到达现场进行维修。如乙方24小时内未作出回应，甲方有权要求赔偿损失并自行委托他人修理，发生的费用从乙方质保金（如有）或</w:t>
      </w:r>
      <w:r>
        <w:rPr>
          <w:rFonts w:asciiTheme="minorEastAsia" w:hAnsiTheme="minorEastAsia" w:eastAsiaTheme="minorEastAsia"/>
          <w:sz w:val="24"/>
          <w:szCs w:val="24"/>
        </w:rPr>
        <w:t>应付款项</w:t>
      </w:r>
      <w:r>
        <w:rPr>
          <w:rFonts w:hint="eastAsia" w:asciiTheme="minorEastAsia" w:hAnsiTheme="minorEastAsia" w:eastAsiaTheme="minorEastAsia"/>
          <w:sz w:val="24"/>
          <w:szCs w:val="24"/>
        </w:rPr>
        <w:t>中扣除，质保金（如有）不足以支付修理费用的，乙方还应向甲方承担超出部分的赔偿责任。</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 其他</w:t>
      </w:r>
    </w:p>
    <w:p>
      <w:pPr>
        <w:adjustRightInd w:val="0"/>
        <w:snapToGrid w:val="0"/>
        <w:spacing w:beforeLines="50" w:afterLines="50"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本合同共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hint="eastAsia" w:asciiTheme="minorEastAsia" w:hAnsiTheme="minorEastAsia" w:eastAsiaTheme="minorEastAsia"/>
          <w:sz w:val="24"/>
          <w:szCs w:val="24"/>
          <w:u w:val="single"/>
        </w:rPr>
        <w:t>肆</w:t>
      </w:r>
      <w:r>
        <w:rPr>
          <w:rFonts w:hint="eastAsia" w:asciiTheme="minorEastAsia" w:hAnsiTheme="minorEastAsia" w:eastAsiaTheme="minorEastAsia"/>
          <w:sz w:val="24"/>
          <w:szCs w:val="24"/>
        </w:rPr>
        <w:t>份，乙方执</w:t>
      </w:r>
      <w:r>
        <w:rPr>
          <w:rFonts w:hint="eastAsia" w:asciiTheme="minorEastAsia" w:hAnsiTheme="minorEastAsia" w:eastAsiaTheme="minorEastAsia"/>
          <w:sz w:val="24"/>
          <w:szCs w:val="24"/>
          <w:u w:val="single"/>
          <w:lang w:val="en-US" w:eastAsia="zh-CN"/>
        </w:rPr>
        <w:t>壹</w:t>
      </w:r>
      <w:r>
        <w:rPr>
          <w:rFonts w:hint="eastAsia" w:asciiTheme="minorEastAsia" w:hAnsiTheme="minorEastAsia" w:eastAsiaTheme="minorEastAsia"/>
          <w:sz w:val="24"/>
          <w:szCs w:val="24"/>
        </w:rPr>
        <w:t>份，具有同样法律效力。</w:t>
      </w:r>
    </w:p>
    <w:p>
      <w:pPr>
        <w:adjustRightInd w:val="0"/>
        <w:snapToGrid w:val="0"/>
        <w:spacing w:beforeLines="50" w:afterLines="50" w:line="440" w:lineRule="exact"/>
        <w:ind w:firstLine="361" w:firstLineChars="150"/>
        <w:jc w:val="center"/>
        <w:rPr>
          <w:rFonts w:asciiTheme="minorEastAsia" w:hAnsiTheme="minorEastAsia" w:eastAsiaTheme="minorEastAsia"/>
          <w:b/>
          <w:sz w:val="24"/>
          <w:szCs w:val="24"/>
        </w:rPr>
      </w:pPr>
    </w:p>
    <w:p>
      <w:pPr>
        <w:adjustRightInd w:val="0"/>
        <w:snapToGrid w:val="0"/>
        <w:spacing w:beforeLines="50" w:afterLines="50" w:line="440" w:lineRule="exact"/>
        <w:ind w:firstLine="361" w:firstLineChars="1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第二部分 通用条款</w:t>
      </w:r>
    </w:p>
    <w:p>
      <w:pPr>
        <w:pStyle w:val="36"/>
        <w:adjustRightInd w:val="0"/>
        <w:snapToGrid w:val="0"/>
        <w:spacing w:beforeLines="50" w:afterLines="50" w:line="440" w:lineRule="exact"/>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 甲方</w:t>
      </w:r>
      <w:r>
        <w:rPr>
          <w:rFonts w:asciiTheme="minorEastAsia" w:hAnsiTheme="minorEastAsia" w:eastAsiaTheme="minorEastAsia"/>
          <w:b/>
          <w:sz w:val="24"/>
          <w:szCs w:val="24"/>
        </w:rPr>
        <w:t>权利义务</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1甲方委派现场代表负责解决施工过程遇到的问题，并参与工程进度、工程质量、隐蔽工程和合同执行进行监督检查，并组织办理竣工验收和结算。</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甲方负责提供可供乙方进场施工的现场条件（施工场地、材料堆放场地、水电接口等）。</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甲方在工程实施前组织由设计、甲乙双方参加的交底会，研究设计图纸及施工配合问题。</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甲方按合同约定及时支付进度款项。</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甲方</w:t>
      </w:r>
      <w:r>
        <w:rPr>
          <w:rFonts w:asciiTheme="minorEastAsia" w:hAnsiTheme="minorEastAsia" w:eastAsiaTheme="minorEastAsia"/>
          <w:sz w:val="24"/>
          <w:szCs w:val="24"/>
        </w:rPr>
        <w:t>负责</w:t>
      </w:r>
      <w:r>
        <w:rPr>
          <w:rFonts w:hint="eastAsia" w:asciiTheme="minorEastAsia" w:hAnsiTheme="minorEastAsia" w:eastAsiaTheme="minorEastAsia"/>
          <w:sz w:val="24"/>
          <w:szCs w:val="24"/>
        </w:rPr>
        <w:t>审定施工组织方案和组织竣工验收工作。</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1.6</w:t>
      </w:r>
      <w:r>
        <w:rPr>
          <w:rFonts w:hint="eastAsia" w:asciiTheme="minorEastAsia" w:hAnsiTheme="minorEastAsia" w:eastAsiaTheme="minorEastAsia"/>
          <w:sz w:val="24"/>
          <w:szCs w:val="24"/>
        </w:rPr>
        <w:t>甲方负责协调现场相关各方关系，为乙方创造必要条件，以确保项目顺利推进。</w:t>
      </w:r>
    </w:p>
    <w:p>
      <w:pPr>
        <w:pStyle w:val="35"/>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 乙方权利义务</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根据工作项目，编写作业指导书和施工网络图（均为电子版），经甲方审核后按作业指导书和施工网络图施工。</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2.2按甲方有关规定办理开工手续，并落实安全措施已经做好，办理好工作票后，方能进入现场进行施工。</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w:t>
      </w:r>
      <w:r>
        <w:rPr>
          <w:rFonts w:asciiTheme="minorEastAsia" w:hAnsiTheme="minorEastAsia" w:eastAsiaTheme="minorEastAsia"/>
          <w:sz w:val="24"/>
          <w:szCs w:val="24"/>
        </w:rPr>
        <w:t>乙方进场后负责</w:t>
      </w:r>
      <w:r>
        <w:rPr>
          <w:rFonts w:hint="eastAsia" w:asciiTheme="minorEastAsia" w:hAnsiTheme="minorEastAsia" w:eastAsiaTheme="minorEastAsia"/>
          <w:sz w:val="24"/>
          <w:szCs w:val="24"/>
        </w:rPr>
        <w:t>现场临时用电布置（即施工临时管线、设备）、施工场地材料堆放场地须由乙方自行封闭和看护。</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4</w:t>
      </w:r>
      <w:r>
        <w:rPr>
          <w:rFonts w:asciiTheme="minorEastAsia" w:hAnsiTheme="minorEastAsia" w:eastAsiaTheme="minorEastAsia"/>
          <w:sz w:val="24"/>
          <w:szCs w:val="24"/>
        </w:rPr>
        <w:t>乙方必须服从甲方安排，严格按照甲方认可的方案和图纸要求组织施工，按期完工，确保工程质量。因乙方施工质量问题，造成甲方及第三方损失等费用及责任均由乙方承担。</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5</w:t>
      </w:r>
      <w:r>
        <w:rPr>
          <w:rFonts w:asciiTheme="minorEastAsia" w:hAnsiTheme="minorEastAsia" w:eastAsiaTheme="minorEastAsia"/>
          <w:sz w:val="24"/>
          <w:szCs w:val="24"/>
        </w:rPr>
        <w:t>乙方必须严格按照国家颁布的安全法规安全文明施工，自觉遵守甲方的有关现场管理规定，做到文明施工，完工后即时清场。</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6</w:t>
      </w:r>
      <w:r>
        <w:rPr>
          <w:rFonts w:asciiTheme="minorEastAsia" w:hAnsiTheme="minorEastAsia" w:eastAsiaTheme="minorEastAsia"/>
          <w:sz w:val="24"/>
          <w:szCs w:val="24"/>
        </w:rPr>
        <w:t>乙方应对施工工人进行</w:t>
      </w:r>
      <w:r>
        <w:rPr>
          <w:rFonts w:hint="eastAsia" w:asciiTheme="minorEastAsia" w:hAnsiTheme="minorEastAsia" w:eastAsiaTheme="minorEastAsia"/>
          <w:sz w:val="24"/>
          <w:szCs w:val="24"/>
        </w:rPr>
        <w:t>安全培训</w:t>
      </w:r>
      <w:r>
        <w:rPr>
          <w:rFonts w:asciiTheme="minorEastAsia" w:hAnsiTheme="minorEastAsia" w:eastAsiaTheme="minorEastAsia"/>
          <w:sz w:val="24"/>
          <w:szCs w:val="24"/>
        </w:rPr>
        <w:t>，</w:t>
      </w:r>
      <w:r>
        <w:rPr>
          <w:rFonts w:hint="eastAsia" w:asciiTheme="minorEastAsia" w:hAnsiTheme="minorEastAsia" w:eastAsiaTheme="minorEastAsia"/>
          <w:sz w:val="24"/>
          <w:szCs w:val="24"/>
        </w:rPr>
        <w:t>考试合格后方准进入施工现场</w:t>
      </w:r>
      <w:r>
        <w:rPr>
          <w:rFonts w:asciiTheme="minorEastAsia" w:hAnsiTheme="minorEastAsia" w:eastAsiaTheme="minorEastAsia"/>
          <w:sz w:val="24"/>
          <w:szCs w:val="24"/>
        </w:rPr>
        <w:t>；施工过程中出现在乙方责任范围内的安全事故或造成第三人人身伤害、财产损失的或罚款等均由乙方负责</w:t>
      </w:r>
      <w:r>
        <w:rPr>
          <w:rFonts w:hint="eastAsia" w:asciiTheme="minorEastAsia" w:hAnsiTheme="minorEastAsia" w:eastAsiaTheme="minorEastAsia"/>
          <w:sz w:val="24"/>
          <w:szCs w:val="24"/>
        </w:rPr>
        <w:t>，甲方因此受到损失的，有权要求乙方赔偿</w:t>
      </w:r>
      <w:r>
        <w:rPr>
          <w:rFonts w:asciiTheme="minorEastAsia" w:hAnsiTheme="minorEastAsia" w:eastAsiaTheme="minorEastAsia"/>
          <w:sz w:val="24"/>
          <w:szCs w:val="24"/>
        </w:rPr>
        <w:t>。</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7乙方参加施工的工作人员，属特殊工种的（如焊接、起重、电工等），必须执证上岗。</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8甲方</w:t>
      </w:r>
      <w:r>
        <w:rPr>
          <w:rFonts w:asciiTheme="minorEastAsia" w:hAnsiTheme="minorEastAsia" w:eastAsiaTheme="minorEastAsia"/>
          <w:sz w:val="24"/>
          <w:szCs w:val="24"/>
        </w:rPr>
        <w:t>有权</w:t>
      </w:r>
      <w:r>
        <w:rPr>
          <w:rFonts w:hint="eastAsia" w:asciiTheme="minorEastAsia" w:hAnsiTheme="minorEastAsia" w:eastAsiaTheme="minorEastAsia"/>
          <w:sz w:val="24"/>
          <w:szCs w:val="24"/>
        </w:rPr>
        <w:t>要求</w:t>
      </w:r>
      <w:r>
        <w:rPr>
          <w:rFonts w:asciiTheme="minorEastAsia" w:hAnsiTheme="minorEastAsia" w:eastAsiaTheme="minorEastAsia"/>
          <w:sz w:val="24"/>
          <w:szCs w:val="24"/>
        </w:rPr>
        <w:t>乙方团队成员</w:t>
      </w:r>
      <w:r>
        <w:rPr>
          <w:rFonts w:hint="eastAsia" w:asciiTheme="minorEastAsia" w:hAnsiTheme="minorEastAsia" w:eastAsiaTheme="minorEastAsia"/>
          <w:sz w:val="24"/>
          <w:szCs w:val="24"/>
        </w:rPr>
        <w:t>按时参加甲方组织与乙方有关的生产协调会，并执行协调会形成的各项决议，具体参加人员由甲方指定。项目施工期间，项目负责人必须全程现场管控；若甲方对实施项目有疑问时，需要当日给予反馈，或书面说明其原因、情况。</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9若乙方项目部执行不力，甲方有权更换项目经理或相关管理人及终止与乙方的合同，另行安排其它队伍施工，由此造成的损失和费用乙方承担。</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10不得擅自变更修理工作内容，若需要变更必须经甲方同意，并由甲方出具工作内容变更通知后，方可实施。因乙方擅自变更设计发生的费用和由此导致甲方的损失，由乙方承担，延误的工期不予顺延。</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1乙方负责按有关规定组织进场材料及机械设备的报验手续。本工程施工、材料及加工、检测和验收等必须符合国家、地方颁发的现行有关规范及行业标准。</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2在工程交付使用后，由于乙方未按照合同以及国家、地方、行业规定的标准、规范和设计等要求施工，或因其采购设备、材料和构件、配件质量不合格，或制作质量产生的设施故障并造成人员伤亡问题，均由乙方责任保修并承担全部法律、经济责任（因使用、维护不当所造成的问题除外）。</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3由于政策变化、不可抗力以及甲、乙双方之外的原因使合同不能继续履行，乙方应妥善做好已完工程的移交工作。</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4乙方负责工程资料的整理，保证资料符合要求</w:t>
      </w:r>
      <w:r>
        <w:rPr>
          <w:rFonts w:asciiTheme="minorEastAsia" w:hAnsiTheme="minorEastAsia" w:eastAsiaTheme="minorEastAsia"/>
          <w:sz w:val="24"/>
          <w:szCs w:val="24"/>
        </w:rPr>
        <w:t>,及时报送甲方。同时乙方应</w:t>
      </w:r>
      <w:r>
        <w:rPr>
          <w:rFonts w:hint="eastAsia" w:asciiTheme="minorEastAsia" w:hAnsiTheme="minorEastAsia" w:eastAsiaTheme="minorEastAsia"/>
          <w:sz w:val="24"/>
          <w:szCs w:val="24"/>
        </w:rPr>
        <w:t>根据检修进度及时通知甲方组织工程验收，提供技术资料，竣工时移交所有的检修资料及原始记录，办理结算。</w:t>
      </w:r>
      <w:r>
        <w:rPr>
          <w:rFonts w:asciiTheme="minorEastAsia" w:hAnsiTheme="minorEastAsia" w:eastAsiaTheme="minorEastAsia"/>
          <w:sz w:val="24"/>
          <w:szCs w:val="24"/>
        </w:rPr>
        <w:t>因乙方原因造成的手续延误和相关问题，乙方承担相应责任。</w:t>
      </w:r>
    </w:p>
    <w:p>
      <w:pPr>
        <w:adjustRightInd w:val="0"/>
        <w:snapToGrid w:val="0"/>
        <w:spacing w:beforeLines="50" w:afterLines="50" w:line="440" w:lineRule="exact"/>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安全责任</w:t>
      </w:r>
    </w:p>
    <w:p>
      <w:pPr>
        <w:adjustRightInd w:val="0"/>
        <w:snapToGrid w:val="0"/>
        <w:spacing w:beforeLines="50" w:afterLines="50"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3.1 本合同项下产品终验收合格前一切费用、风险由乙方承担。</w:t>
      </w:r>
    </w:p>
    <w:p>
      <w:pPr>
        <w:adjustRightInd w:val="0"/>
        <w:snapToGrid w:val="0"/>
        <w:spacing w:beforeLines="50" w:afterLines="50"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3.2 乙方进入甲方现场作业前，需向甲方书面提供作业人员名单、作业内容和计划。乙方在甲方现场工作期间，应严格遵守国家的法律法规，遵守劳动法和安全生产法。遵守甲方工厂内的各种规章制度，遵守安全操作规程和采取有关安全措施，做到安全生产，具体内容见双方签订的《施工安全、环保管理协议》。</w:t>
      </w:r>
    </w:p>
    <w:p>
      <w:pPr>
        <w:adjustRightInd w:val="0"/>
        <w:snapToGrid w:val="0"/>
        <w:spacing w:beforeLines="50" w:afterLines="50" w:line="44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3.3 乙方在甲方现场作业期间要做到文明施工。施工完成后，要做到工完料净，保持施工现场的清洁卫生。</w:t>
      </w:r>
    </w:p>
    <w:p>
      <w:pPr>
        <w:adjustRightInd w:val="0"/>
        <w:snapToGrid w:val="0"/>
        <w:spacing w:beforeLines="50" w:afterLines="50" w:line="440" w:lineRule="exact"/>
        <w:ind w:firstLine="482"/>
        <w:rPr>
          <w:rFonts w:asciiTheme="minorEastAsia" w:hAnsiTheme="minorEastAsia" w:eastAsiaTheme="minorEastAsia"/>
          <w:b/>
          <w:sz w:val="24"/>
          <w:szCs w:val="24"/>
        </w:rPr>
      </w:pPr>
      <w:r>
        <w:rPr>
          <w:rFonts w:hint="eastAsia" w:asciiTheme="minorEastAsia" w:hAnsiTheme="minorEastAsia" w:eastAsiaTheme="minorEastAsia"/>
          <w:sz w:val="24"/>
          <w:szCs w:val="24"/>
        </w:rPr>
        <w:t>3.4 乙方自带安全保护带等高空作业防护工具及所需工具。乙方在甲方发生的人身伤亡或财产损失，一切责任由乙方自行承担，与甲方无关。乙方如果给甲方或第三人造成人身伤亡或财产损失，由乙方承担全部责任。</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验收</w:t>
      </w:r>
    </w:p>
    <w:p>
      <w:pPr>
        <w:pStyle w:val="9"/>
        <w:adjustRightInd w:val="0"/>
        <w:snapToGrid w:val="0"/>
        <w:spacing w:beforeLines="50" w:afterLines="50" w:line="440" w:lineRule="exact"/>
        <w:ind w:left="0" w:firstLine="48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验收标准</w:t>
      </w:r>
    </w:p>
    <w:p>
      <w:pPr>
        <w:pStyle w:val="9"/>
        <w:adjustRightInd w:val="0"/>
        <w:snapToGrid w:val="0"/>
        <w:spacing w:beforeLines="50" w:afterLines="50" w:line="440" w:lineRule="exact"/>
        <w:ind w:left="0" w:firstLine="48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.1.1本合同按照合同约定内容及要求的质量检验标准。</w:t>
      </w:r>
      <w:r>
        <w:rPr>
          <w:rFonts w:hint="eastAsia" w:asciiTheme="minorEastAsia" w:hAnsiTheme="minorEastAsia" w:eastAsiaTheme="minorEastAsia"/>
        </w:rPr>
        <w:t>在施工过程中甲方有权随时抽查，如与约定要求不符合，甲方有权要求乙方返工，并延迟支付剩余工程款直至与约定要求相符。由此导致的工期延误，由乙方承担违约责任。工期延误</w:t>
      </w:r>
      <w:r>
        <w:rPr>
          <w:rFonts w:asciiTheme="minorEastAsia" w:hAnsiTheme="minorEastAsia" w:eastAsiaTheme="minorEastAsia"/>
        </w:rPr>
        <w:t>至合同目的不能实现的，</w:t>
      </w:r>
      <w:r>
        <w:rPr>
          <w:rFonts w:hint="eastAsia" w:asciiTheme="minorEastAsia" w:hAnsiTheme="minorEastAsia" w:eastAsiaTheme="minorEastAsia"/>
        </w:rPr>
        <w:t>甲方有权通过书面通知形式，解除合作合同，</w:t>
      </w:r>
      <w:r>
        <w:rPr>
          <w:rFonts w:asciiTheme="minorEastAsia" w:hAnsiTheme="minorEastAsia" w:eastAsiaTheme="minorEastAsia"/>
        </w:rPr>
        <w:t>并要求乙方承担</w:t>
      </w:r>
      <w:r>
        <w:rPr>
          <w:rFonts w:hint="eastAsia" w:asciiTheme="minorEastAsia" w:hAnsiTheme="minorEastAsia" w:eastAsiaTheme="minorEastAsia"/>
        </w:rPr>
        <w:t>相应</w:t>
      </w:r>
      <w:r>
        <w:rPr>
          <w:rFonts w:asciiTheme="minorEastAsia" w:hAnsiTheme="minorEastAsia" w:eastAsiaTheme="minorEastAsia"/>
        </w:rPr>
        <w:t>违约责任</w:t>
      </w:r>
      <w:r>
        <w:rPr>
          <w:rFonts w:hint="eastAsia" w:asciiTheme="minorEastAsia" w:hAnsiTheme="minorEastAsia" w:eastAsiaTheme="minorEastAsia"/>
        </w:rPr>
        <w:t>。</w:t>
      </w:r>
    </w:p>
    <w:p>
      <w:pPr>
        <w:pStyle w:val="9"/>
        <w:adjustRightInd w:val="0"/>
        <w:snapToGrid w:val="0"/>
        <w:spacing w:beforeLines="50" w:afterLines="50" w:line="440" w:lineRule="exact"/>
        <w:ind w:left="0" w:firstLine="48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.1.2施工、材料及加工、检测和验收等必须符合国家、地方颁发的现行有关规范及行业标准。</w:t>
      </w:r>
    </w:p>
    <w:p>
      <w:pPr>
        <w:pStyle w:val="9"/>
        <w:adjustRightInd w:val="0"/>
        <w:snapToGrid w:val="0"/>
        <w:spacing w:beforeLines="50" w:afterLines="50" w:line="440" w:lineRule="exact"/>
        <w:ind w:left="0" w:firstLine="48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验收</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.2.1</w:t>
      </w:r>
      <w:r>
        <w:rPr>
          <w:rFonts w:hint="eastAsia" w:asciiTheme="minorEastAsia" w:hAnsiTheme="minorEastAsia" w:eastAsiaTheme="minorEastAsia"/>
          <w:sz w:val="24"/>
          <w:szCs w:val="24"/>
        </w:rPr>
        <w:t>乙方完成隐蔽工程后，向甲方申请验收，甲方将根据现场施工情况进行验收。验收合格单需经甲方代表签字验收后生效，对于验收不合格的，双方应签署整改报告，在整改报告中应列明存在的问题及完成整改的期限。整改结束后，双方另行组织验收。仍不符合</w:t>
      </w:r>
      <w:r>
        <w:rPr>
          <w:rFonts w:asciiTheme="minorEastAsia" w:hAnsiTheme="minorEastAsia" w:eastAsiaTheme="minorEastAsia"/>
          <w:sz w:val="24"/>
          <w:szCs w:val="24"/>
        </w:rPr>
        <w:t>的，甲方将</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对该部分</w:t>
      </w:r>
      <w:r>
        <w:rPr>
          <w:rFonts w:hint="eastAsia" w:asciiTheme="minorEastAsia" w:hAnsiTheme="minorEastAsia" w:eastAsiaTheme="minorEastAsia"/>
          <w:sz w:val="24"/>
          <w:szCs w:val="24"/>
        </w:rPr>
        <w:t>金额</w:t>
      </w:r>
      <w:r>
        <w:rPr>
          <w:rFonts w:asciiTheme="minorEastAsia" w:hAnsiTheme="minorEastAsia" w:eastAsiaTheme="minorEastAsia"/>
          <w:sz w:val="24"/>
          <w:szCs w:val="24"/>
        </w:rPr>
        <w:t>予以扣款</w:t>
      </w:r>
      <w:r>
        <w:rPr>
          <w:rFonts w:hint="eastAsia" w:asciiTheme="minorEastAsia" w:hAnsiTheme="minorEastAsia" w:eastAsiaTheme="minorEastAsia"/>
          <w:sz w:val="24"/>
          <w:szCs w:val="24"/>
        </w:rPr>
        <w:t>。验收结束后，甲方将根据验收情况予以付款。</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2工程完毕后，</w:t>
      </w:r>
      <w:r>
        <w:rPr>
          <w:rFonts w:hint="eastAsia" w:asciiTheme="minorEastAsia" w:hAnsiTheme="minorEastAsia" w:eastAsiaTheme="minorEastAsia"/>
          <w:sz w:val="24"/>
          <w:szCs w:val="24"/>
        </w:rPr>
        <w:t>乙方应协助甲方进行最终验收，并配合办理各项验收手续，双方将</w:t>
      </w:r>
      <w:r>
        <w:rPr>
          <w:rFonts w:asciiTheme="minorEastAsia" w:hAnsiTheme="minorEastAsia" w:eastAsiaTheme="minorEastAsia"/>
          <w:sz w:val="24"/>
          <w:szCs w:val="24"/>
        </w:rPr>
        <w:t>进行工程竣工验收，</w:t>
      </w:r>
      <w:r>
        <w:rPr>
          <w:rFonts w:hint="eastAsia" w:asciiTheme="minorEastAsia" w:hAnsiTheme="minorEastAsia" w:eastAsiaTheme="minorEastAsia"/>
          <w:sz w:val="24"/>
          <w:szCs w:val="24"/>
        </w:rPr>
        <w:t>乙方应按甲方</w:t>
      </w:r>
      <w:r>
        <w:rPr>
          <w:rFonts w:asciiTheme="minorEastAsia" w:hAnsiTheme="minorEastAsia" w:eastAsiaTheme="minorEastAsia"/>
          <w:sz w:val="24"/>
          <w:szCs w:val="24"/>
        </w:rPr>
        <w:t>要求</w:t>
      </w:r>
      <w:r>
        <w:rPr>
          <w:rFonts w:hint="eastAsia" w:asciiTheme="minorEastAsia" w:hAnsiTheme="minorEastAsia" w:eastAsiaTheme="minorEastAsia"/>
          <w:sz w:val="24"/>
          <w:szCs w:val="24"/>
        </w:rPr>
        <w:t>提交完整竣工资料给甲方进行验收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将根据整体施工情况以及乙方提交的材料进行综合验收。验收合格单需经甲方代表签字验收后生效，对于验收不合格的，双方应签署整改报告，在整改报告中应列明存在的问题及完成整改的期限。整改结束后，双方另行组织验收。仍不符合的，甲方将对该部分金额予以扣款。验收结束</w:t>
      </w:r>
      <w:r>
        <w:rPr>
          <w:rFonts w:asciiTheme="minorEastAsia" w:hAnsiTheme="minorEastAsia" w:eastAsiaTheme="minorEastAsia"/>
          <w:sz w:val="24"/>
          <w:szCs w:val="24"/>
        </w:rPr>
        <w:t>后，甲方将根据验收情况</w:t>
      </w:r>
      <w:r>
        <w:rPr>
          <w:rFonts w:hint="eastAsia" w:asciiTheme="minorEastAsia" w:hAnsiTheme="minorEastAsia" w:eastAsiaTheme="minorEastAsia"/>
          <w:sz w:val="24"/>
          <w:szCs w:val="24"/>
        </w:rPr>
        <w:t>予以</w:t>
      </w:r>
      <w:r>
        <w:rPr>
          <w:rFonts w:asciiTheme="minorEastAsia" w:hAnsiTheme="minorEastAsia" w:eastAsiaTheme="minorEastAsia"/>
          <w:sz w:val="24"/>
          <w:szCs w:val="24"/>
        </w:rPr>
        <w:t>付款。</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违约责任</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.1</w:t>
      </w:r>
      <w:r>
        <w:rPr>
          <w:rFonts w:hint="eastAsia" w:asciiTheme="minorEastAsia" w:hAnsiTheme="minorEastAsia" w:eastAsiaTheme="minorEastAsia"/>
          <w:sz w:val="24"/>
          <w:szCs w:val="24"/>
        </w:rPr>
        <w:t>甲乙双方应严格遵守本合同的条款，否则违约方须承担违约责任。</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.2</w:t>
      </w:r>
      <w:r>
        <w:rPr>
          <w:rFonts w:hint="eastAsia" w:asciiTheme="minorEastAsia" w:hAnsiTheme="minorEastAsia" w:eastAsiaTheme="minorEastAsia"/>
          <w:sz w:val="24"/>
          <w:szCs w:val="24"/>
        </w:rPr>
        <w:t>乙方应按照本合同及附件约定的时间节点履行合同义务，乙方逾期履行合同义务的，每逾期</w:t>
      </w:r>
      <w:r>
        <w:rPr>
          <w:rFonts w:asciiTheme="minorEastAsia" w:hAnsiTheme="minorEastAsia" w:eastAsiaTheme="minorEastAsia"/>
          <w:sz w:val="24"/>
          <w:szCs w:val="24"/>
        </w:rPr>
        <w:t>1天，应按照合同总金额的5‰向甲方支付违约金，按日累进计算。逾期超过15天的</w:t>
      </w:r>
      <w:r>
        <w:rPr>
          <w:rFonts w:hint="eastAsia" w:asciiTheme="minorEastAsia" w:hAnsiTheme="minorEastAsia" w:eastAsiaTheme="minorEastAsia"/>
          <w:sz w:val="24"/>
          <w:szCs w:val="24"/>
        </w:rPr>
        <w:t>，视为不能实现合同目的，甲方有权解除合同，乙方应按合同总金额的【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向甲方支付违约金，</w:t>
      </w:r>
      <w:r>
        <w:rPr>
          <w:rFonts w:asciiTheme="minorEastAsia" w:hAnsiTheme="minorEastAsia" w:eastAsiaTheme="minorEastAsia"/>
          <w:sz w:val="24"/>
          <w:szCs w:val="24"/>
        </w:rPr>
        <w:t>该违约金无法</w:t>
      </w:r>
      <w:r>
        <w:rPr>
          <w:rFonts w:hint="eastAsia" w:asciiTheme="minorEastAsia" w:hAnsiTheme="minorEastAsia" w:eastAsiaTheme="minorEastAsia"/>
          <w:sz w:val="24"/>
          <w:szCs w:val="24"/>
        </w:rPr>
        <w:t>弥补甲方</w:t>
      </w:r>
      <w:r>
        <w:rPr>
          <w:rFonts w:asciiTheme="minorEastAsia" w:hAnsiTheme="minorEastAsia" w:eastAsiaTheme="minorEastAsia"/>
          <w:sz w:val="24"/>
          <w:szCs w:val="24"/>
        </w:rPr>
        <w:t>损失的甲方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继续追偿</w:t>
      </w:r>
      <w:r>
        <w:rPr>
          <w:rFonts w:hint="eastAsia" w:asciiTheme="minorEastAsia" w:hAnsiTheme="minorEastAsia" w:eastAsiaTheme="minorEastAsia"/>
          <w:sz w:val="24"/>
          <w:szCs w:val="24"/>
        </w:rPr>
        <w:t>。</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.3</w:t>
      </w:r>
      <w:r>
        <w:rPr>
          <w:rFonts w:hint="eastAsia" w:asciiTheme="minorEastAsia" w:hAnsiTheme="minorEastAsia" w:eastAsiaTheme="minorEastAsia"/>
          <w:sz w:val="24"/>
          <w:szCs w:val="24"/>
        </w:rPr>
        <w:t>合同签订后，除甲方书面同意外，乙方单方面中止履行合同，视为违约，甲方有权解除合同，乙方应按照合同总金额的【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w:t>
      </w:r>
      <w:r>
        <w:rPr>
          <w:rFonts w:asciiTheme="minorEastAsia" w:hAnsiTheme="minorEastAsia" w:eastAsiaTheme="minorEastAsia"/>
          <w:sz w:val="24"/>
          <w:szCs w:val="24"/>
        </w:rPr>
        <w:t>%向甲方支付违约金</w:t>
      </w:r>
      <w:r>
        <w:rPr>
          <w:rFonts w:hint="eastAsia" w:asciiTheme="minorEastAsia" w:hAnsiTheme="minorEastAsia" w:eastAsiaTheme="minorEastAsia"/>
          <w:sz w:val="24"/>
          <w:szCs w:val="24"/>
        </w:rPr>
        <w:t>，该</w:t>
      </w:r>
      <w:r>
        <w:rPr>
          <w:rFonts w:asciiTheme="minorEastAsia" w:hAnsiTheme="minorEastAsia" w:eastAsiaTheme="minorEastAsia"/>
          <w:sz w:val="24"/>
          <w:szCs w:val="24"/>
        </w:rPr>
        <w:t>违约金无法弥补甲方损失的</w:t>
      </w:r>
      <w:r>
        <w:rPr>
          <w:rFonts w:hint="eastAsia" w:asciiTheme="minorEastAsia" w:hAnsiTheme="minorEastAsia" w:eastAsiaTheme="minorEastAsia"/>
          <w:sz w:val="24"/>
          <w:szCs w:val="24"/>
        </w:rPr>
        <w:t>，</w:t>
      </w:r>
      <w:r>
        <w:rPr>
          <w:rFonts w:asciiTheme="minorEastAsia" w:hAnsiTheme="minorEastAsia" w:eastAsiaTheme="minorEastAsia"/>
          <w:sz w:val="24"/>
          <w:szCs w:val="24"/>
        </w:rPr>
        <w:t>甲方有权</w:t>
      </w:r>
      <w:r>
        <w:rPr>
          <w:rFonts w:hint="eastAsia" w:asciiTheme="minorEastAsia" w:hAnsiTheme="minorEastAsia" w:eastAsiaTheme="minorEastAsia"/>
          <w:sz w:val="24"/>
          <w:szCs w:val="24"/>
        </w:rPr>
        <w:t>继续</w:t>
      </w:r>
      <w:r>
        <w:rPr>
          <w:rFonts w:asciiTheme="minorEastAsia" w:hAnsiTheme="minorEastAsia" w:eastAsiaTheme="minorEastAsia"/>
          <w:sz w:val="24"/>
          <w:szCs w:val="24"/>
        </w:rPr>
        <w:t>追偿。</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.4</w:t>
      </w:r>
      <w:r>
        <w:rPr>
          <w:rFonts w:hint="eastAsia" w:asciiTheme="minorEastAsia" w:hAnsiTheme="minorEastAsia" w:eastAsiaTheme="minorEastAsia"/>
          <w:sz w:val="24"/>
          <w:szCs w:val="24"/>
        </w:rPr>
        <w:t>乙方完工交付的工程不应存在瑕疵或缺陷。对短期检验难以发现的隐蔽瑕疵，甲方享有在质保期届满前向乙方提出质量异议的权利。乙方对存在质量问题的工程，应予以免费修复、或重做；如乙方不履行上述修复、重做义务的，甲方有权解除合同，乙方应按合同总金额的【30】%向甲方支付违约金。</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.5</w:t>
      </w:r>
      <w:r>
        <w:rPr>
          <w:rFonts w:hint="eastAsia" w:asciiTheme="minorEastAsia" w:hAnsiTheme="minorEastAsia" w:eastAsiaTheme="minorEastAsia"/>
          <w:sz w:val="24"/>
          <w:szCs w:val="24"/>
        </w:rPr>
        <w:t>如因乙方工期延误、施工质量等原因导致不能按期完成竣工验收并交付使用，乙方</w:t>
      </w:r>
      <w:r>
        <w:rPr>
          <w:rFonts w:asciiTheme="minorEastAsia" w:hAnsiTheme="minorEastAsia" w:eastAsiaTheme="minorEastAsia"/>
          <w:sz w:val="24"/>
          <w:szCs w:val="24"/>
        </w:rPr>
        <w:t>除要</w:t>
      </w:r>
      <w:r>
        <w:rPr>
          <w:rFonts w:hint="eastAsia" w:asciiTheme="minorEastAsia" w:hAnsiTheme="minorEastAsia" w:eastAsiaTheme="minorEastAsia"/>
          <w:sz w:val="24"/>
          <w:szCs w:val="24"/>
        </w:rPr>
        <w:t>支付</w:t>
      </w:r>
      <w:r>
        <w:rPr>
          <w:rFonts w:asciiTheme="minorEastAsia" w:hAnsiTheme="minorEastAsia" w:eastAsiaTheme="minorEastAsia"/>
          <w:sz w:val="24"/>
          <w:szCs w:val="24"/>
        </w:rPr>
        <w:t>违约金外，</w:t>
      </w:r>
      <w:r>
        <w:rPr>
          <w:rFonts w:hint="eastAsia" w:asciiTheme="minorEastAsia" w:hAnsiTheme="minorEastAsia" w:eastAsiaTheme="minorEastAsia"/>
          <w:sz w:val="24"/>
          <w:szCs w:val="24"/>
        </w:rPr>
        <w:t>如果由此所导致的一切直接及间接损失超出</w:t>
      </w:r>
      <w:r>
        <w:rPr>
          <w:rFonts w:asciiTheme="minorEastAsia" w:hAnsiTheme="minorEastAsia" w:eastAsiaTheme="minorEastAsia"/>
          <w:sz w:val="24"/>
          <w:szCs w:val="24"/>
        </w:rPr>
        <w:t>乙方支付的</w:t>
      </w:r>
      <w:r>
        <w:rPr>
          <w:rFonts w:hint="eastAsia" w:asciiTheme="minorEastAsia" w:hAnsiTheme="minorEastAsia" w:eastAsiaTheme="minorEastAsia"/>
          <w:sz w:val="24"/>
          <w:szCs w:val="24"/>
        </w:rPr>
        <w:t>违约金的</w:t>
      </w:r>
      <w:r>
        <w:rPr>
          <w:rFonts w:asciiTheme="minorEastAsia" w:hAnsiTheme="minorEastAsia" w:eastAsiaTheme="minorEastAsia"/>
          <w:sz w:val="24"/>
          <w:szCs w:val="24"/>
        </w:rPr>
        <w:t>，乙方还应当</w:t>
      </w:r>
      <w:r>
        <w:rPr>
          <w:rFonts w:hint="eastAsia" w:asciiTheme="minorEastAsia" w:hAnsiTheme="minorEastAsia" w:eastAsiaTheme="minorEastAsia"/>
          <w:sz w:val="24"/>
          <w:szCs w:val="24"/>
        </w:rPr>
        <w:t>对</w:t>
      </w:r>
      <w:r>
        <w:rPr>
          <w:rFonts w:asciiTheme="minorEastAsia" w:hAnsiTheme="minorEastAsia" w:eastAsiaTheme="minorEastAsia"/>
          <w:sz w:val="24"/>
          <w:szCs w:val="24"/>
        </w:rPr>
        <w:t>超出部分承担赔偿责任</w:t>
      </w:r>
      <w:r>
        <w:rPr>
          <w:rFonts w:hint="eastAsia" w:asciiTheme="minorEastAsia" w:hAnsiTheme="minorEastAsia" w:eastAsiaTheme="minorEastAsia"/>
          <w:sz w:val="24"/>
          <w:szCs w:val="24"/>
        </w:rPr>
        <w:t>。</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.6</w:t>
      </w:r>
      <w:r>
        <w:rPr>
          <w:rFonts w:hint="eastAsia" w:asciiTheme="minorEastAsia" w:hAnsiTheme="minorEastAsia" w:eastAsiaTheme="minorEastAsia"/>
          <w:sz w:val="24"/>
          <w:szCs w:val="24"/>
        </w:rPr>
        <w:t>如乙方现场代表不配合甲方工作或不能胜任工作时，甲方有权要求乙方更换代表，乙方应无条件地在甲方要求更换之日起</w:t>
      </w:r>
      <w:r>
        <w:rPr>
          <w:rFonts w:asciiTheme="minorEastAsia" w:hAnsiTheme="minorEastAsia" w:eastAsiaTheme="minorEastAsia"/>
          <w:sz w:val="24"/>
          <w:szCs w:val="24"/>
        </w:rPr>
        <w:t>3天内更换，否则视为乙方违约，违约金按每天</w:t>
      </w:r>
      <w:r>
        <w:rPr>
          <w:rFonts w:hint="eastAsia" w:asciiTheme="minorEastAsia" w:hAnsiTheme="minorEastAsia" w:eastAsiaTheme="minorEastAsia"/>
          <w:sz w:val="24"/>
          <w:szCs w:val="24"/>
        </w:rPr>
        <w:t>合同总金额千分之五计算，直至达到要求为止。</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.7</w:t>
      </w:r>
      <w:r>
        <w:rPr>
          <w:rFonts w:hint="eastAsia" w:asciiTheme="minorEastAsia" w:hAnsiTheme="minorEastAsia" w:eastAsiaTheme="minorEastAsia"/>
          <w:sz w:val="24"/>
          <w:szCs w:val="24"/>
        </w:rPr>
        <w:t>上述违约金，甲方有权直接从应付乙方的合同款项和履约保证金（如有）中扣除；不足弥补甲方损失的，甲方均有权追偿。</w:t>
      </w:r>
    </w:p>
    <w:p>
      <w:pPr>
        <w:adjustRightInd w:val="0"/>
        <w:snapToGrid w:val="0"/>
        <w:spacing w:beforeLines="50" w:afterLines="5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.8</w:t>
      </w:r>
      <w:r>
        <w:rPr>
          <w:rFonts w:hint="eastAsia" w:asciiTheme="minorEastAsia" w:hAnsiTheme="minorEastAsia" w:eastAsiaTheme="minorEastAsia"/>
          <w:sz w:val="24"/>
          <w:szCs w:val="24"/>
        </w:rPr>
        <w:t>甲方应严格按照合同约定的付款条件向乙方支付合同款项，甲方逾期付款的，应按每日支付</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应</w:t>
      </w:r>
      <w:r>
        <w:rPr>
          <w:rFonts w:asciiTheme="minorEastAsia" w:hAnsiTheme="minorEastAsia" w:eastAsiaTheme="minorEastAsia"/>
          <w:sz w:val="24"/>
          <w:szCs w:val="24"/>
        </w:rPr>
        <w:t>支付金额万分之一为标准</w:t>
      </w:r>
      <w:r>
        <w:rPr>
          <w:rFonts w:hint="eastAsia" w:asciiTheme="minorEastAsia" w:hAnsiTheme="minorEastAsia" w:eastAsiaTheme="minorEastAsia"/>
          <w:sz w:val="24"/>
          <w:szCs w:val="24"/>
        </w:rPr>
        <w:t>向乙方支付违约金。</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合同终止和解除</w:t>
      </w:r>
    </w:p>
    <w:p>
      <w:pPr>
        <w:adjustRightInd w:val="0"/>
        <w:snapToGrid w:val="0"/>
        <w:spacing w:beforeLines="50" w:afterLines="50" w:line="440" w:lineRule="exact"/>
        <w:ind w:firstLine="480" w:firstLineChars="200"/>
        <w:rPr>
          <w:rFonts w:asciiTheme="minorEastAsia" w:hAnsiTheme="minorEastAsia" w:eastAsiaTheme="minorEastAsia"/>
          <w:spacing w:val="8"/>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.1</w:t>
      </w:r>
      <w:r>
        <w:rPr>
          <w:rFonts w:hint="eastAsia" w:asciiTheme="minorEastAsia" w:hAnsiTheme="minorEastAsia" w:eastAsiaTheme="minorEastAsia"/>
          <w:sz w:val="24"/>
          <w:szCs w:val="24"/>
        </w:rPr>
        <w:t>有下列情形之一的，合同权利义务</w:t>
      </w:r>
      <w:r>
        <w:rPr>
          <w:rFonts w:hint="eastAsia" w:asciiTheme="minorEastAsia" w:hAnsiTheme="minorEastAsia" w:eastAsiaTheme="minorEastAsia"/>
          <w:spacing w:val="8"/>
          <w:sz w:val="24"/>
          <w:szCs w:val="24"/>
        </w:rPr>
        <w:t>终止：</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.1.1本合同因已按约定履行完毕而自然终止；</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.1.2本合同经各方协商一致而终止；</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.1.3法律法规规定终止的其他情形。</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.2由于乙方违约造成本合同不能履行或不能完全履行，乙方在收到甲方要求其纠正违约的通知后</w:t>
      </w:r>
      <w:r>
        <w:rPr>
          <w:rFonts w:asciiTheme="minorEastAsia" w:hAnsiTheme="minorEastAsia" w:eastAsiaTheme="minorEastAsia"/>
          <w:spacing w:val="8"/>
          <w:sz w:val="24"/>
          <w:szCs w:val="24"/>
          <w:u w:val="single"/>
        </w:rPr>
        <w:t>3</w:t>
      </w:r>
      <w:r>
        <w:rPr>
          <w:rFonts w:hint="eastAsia" w:asciiTheme="minorEastAsia" w:hAnsiTheme="minorEastAsia" w:eastAsiaTheme="minorEastAsia"/>
          <w:spacing w:val="8"/>
          <w:sz w:val="24"/>
          <w:szCs w:val="24"/>
        </w:rPr>
        <w:t>天之内仍不纠正其违约行为，则甲方有权向乙方发出解除本合同的书面通知，该通知自送达乙方时生效，乙方应承担本合同约定的违约责任，并赔偿由此给甲方造成的损失。</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.3</w:t>
      </w:r>
      <w:r>
        <w:rPr>
          <w:rFonts w:hint="eastAsia" w:asciiTheme="minorEastAsia" w:hAnsiTheme="minorEastAsia" w:eastAsiaTheme="minorEastAsia"/>
          <w:spacing w:val="8"/>
          <w:sz w:val="24"/>
          <w:szCs w:val="24"/>
        </w:rPr>
        <w:t>双方</w:t>
      </w:r>
      <w:r>
        <w:rPr>
          <w:rFonts w:asciiTheme="minorEastAsia" w:hAnsiTheme="minorEastAsia" w:eastAsiaTheme="minorEastAsia"/>
          <w:spacing w:val="8"/>
          <w:sz w:val="24"/>
          <w:szCs w:val="24"/>
        </w:rPr>
        <w:t>依合同约定解除合同时，乙方所有人员及材料设备等必须在5</w:t>
      </w:r>
      <w:r>
        <w:rPr>
          <w:rFonts w:hint="eastAsia" w:asciiTheme="minorEastAsia" w:hAnsiTheme="minorEastAsia" w:eastAsiaTheme="minorEastAsia"/>
          <w:spacing w:val="8"/>
          <w:sz w:val="24"/>
          <w:szCs w:val="24"/>
        </w:rPr>
        <w:t>个工作日内撤离施工现场并办理相应交接手续。</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6</w:t>
      </w:r>
      <w:r>
        <w:rPr>
          <w:rFonts w:asciiTheme="minorEastAsia" w:hAnsiTheme="minorEastAsia" w:eastAsiaTheme="minorEastAsia"/>
          <w:spacing w:val="8"/>
          <w:sz w:val="24"/>
          <w:szCs w:val="24"/>
        </w:rPr>
        <w:t>.4</w:t>
      </w:r>
      <w:r>
        <w:rPr>
          <w:rFonts w:hint="eastAsia" w:asciiTheme="minorEastAsia" w:hAnsiTheme="minorEastAsia" w:eastAsiaTheme="minorEastAsia"/>
          <w:spacing w:val="8"/>
          <w:sz w:val="24"/>
          <w:szCs w:val="24"/>
        </w:rPr>
        <w:t>由于甲方原因致使本合同部分或全部无法继续履行的，乙方以书面形式呈报甲方，</w:t>
      </w:r>
      <w:r>
        <w:rPr>
          <w:rFonts w:asciiTheme="minorEastAsia" w:hAnsiTheme="minorEastAsia" w:eastAsiaTheme="minorEastAsia"/>
          <w:spacing w:val="8"/>
          <w:sz w:val="24"/>
          <w:szCs w:val="24"/>
        </w:rPr>
        <w:t>3</w:t>
      </w:r>
      <w:r>
        <w:rPr>
          <w:rFonts w:hint="eastAsia" w:asciiTheme="minorEastAsia" w:hAnsiTheme="minorEastAsia" w:eastAsiaTheme="minorEastAsia"/>
          <w:spacing w:val="8"/>
          <w:sz w:val="24"/>
          <w:szCs w:val="24"/>
        </w:rPr>
        <w:t>天之内甲方若无实质性改善措施或不予回复的，则乙方有权终止施工，并对已经发生的费用向甲方进行清算</w:t>
      </w:r>
      <w:r>
        <w:rPr>
          <w:rFonts w:asciiTheme="minorEastAsia" w:hAnsiTheme="minorEastAsia" w:eastAsiaTheme="minorEastAsia"/>
          <w:spacing w:val="8"/>
          <w:sz w:val="24"/>
          <w:szCs w:val="24"/>
        </w:rPr>
        <w:t>。</w:t>
      </w:r>
    </w:p>
    <w:p>
      <w:pPr>
        <w:adjustRightInd w:val="0"/>
        <w:snapToGrid w:val="0"/>
        <w:spacing w:beforeLines="50" w:afterLines="50" w:line="440" w:lineRule="exact"/>
        <w:rPr>
          <w:rFonts w:asciiTheme="minorEastAsia" w:hAnsiTheme="minorEastAsia" w:eastAsiaTheme="minorEastAsia"/>
          <w:b/>
          <w:spacing w:val="8"/>
          <w:sz w:val="24"/>
          <w:szCs w:val="24"/>
        </w:rPr>
      </w:pPr>
      <w:r>
        <w:rPr>
          <w:rFonts w:hint="eastAsia" w:asciiTheme="minorEastAsia" w:hAnsiTheme="minorEastAsia" w:eastAsiaTheme="minorEastAsia"/>
          <w:b/>
          <w:sz w:val="24"/>
          <w:szCs w:val="24"/>
        </w:rPr>
        <w:t>第七条</w:t>
      </w:r>
      <w:r>
        <w:rPr>
          <w:rFonts w:asciiTheme="minorEastAsia" w:hAnsiTheme="minorEastAsia" w:eastAsiaTheme="minorEastAsia"/>
          <w:b/>
          <w:kern w:val="0"/>
          <w:sz w:val="24"/>
          <w:szCs w:val="24"/>
        </w:rPr>
        <w:t xml:space="preserve">  保密条款</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7.1乙方应对甲方的技术信息、商业信息和文件资料履行保守秘密的义务，在没有甲方书面同意的情况下，不得泄露给第三方。</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7.2乙方务必在合同执行完毕后将甲方提供的数据等资料进行销毁处理。</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7.3乙方应当以书面形式要求乙方员工或供应商承担相应的保密义务，并经常检查其履行保密义务的情况。</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7.4本协议项下的乙方保密义务，延续至甲乙双方业务关系终止后10年，此责任不因本协议的终止而免除。</w:t>
      </w:r>
    </w:p>
    <w:p>
      <w:pPr>
        <w:adjustRightInd w:val="0"/>
        <w:snapToGrid w:val="0"/>
        <w:spacing w:beforeLines="50" w:afterLines="50" w:line="440" w:lineRule="exact"/>
        <w:ind w:firstLine="512" w:firstLineChars="20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7.5乙方如违反前述条款规定的保密义务，甲方有权要求乙方支付相当于本合同总金额30%的违约金。该违约金不足以弥补甲方经济损失时，甲方有权继续追究乙方责任。</w:t>
      </w:r>
    </w:p>
    <w:p>
      <w:pPr>
        <w:adjustRightInd w:val="0"/>
        <w:snapToGrid w:val="0"/>
        <w:spacing w:beforeLines="50" w:afterLines="50" w:line="440" w:lineRule="exact"/>
        <w:rPr>
          <w:rFonts w:asciiTheme="minorEastAsia" w:hAnsiTheme="minorEastAsia" w:eastAsiaTheme="minorEastAsia"/>
          <w:b/>
          <w:bCs/>
          <w:sz w:val="24"/>
          <w:szCs w:val="24"/>
        </w:rPr>
      </w:pPr>
      <w:r>
        <w:rPr>
          <w:rFonts w:hint="eastAsia" w:asciiTheme="minorEastAsia" w:hAnsiTheme="minorEastAsia" w:eastAsiaTheme="minorEastAsia"/>
          <w:b/>
          <w:kern w:val="0"/>
          <w:sz w:val="24"/>
          <w:szCs w:val="24"/>
        </w:rPr>
        <w:t>第八条</w:t>
      </w:r>
      <w:r>
        <w:rPr>
          <w:rFonts w:asciiTheme="minorEastAsia" w:hAnsiTheme="minorEastAsia" w:eastAsiaTheme="minorEastAsia"/>
          <w:b/>
          <w:bCs/>
          <w:sz w:val="24"/>
          <w:szCs w:val="24"/>
        </w:rPr>
        <w:t xml:space="preserve">  不可抗力</w:t>
      </w:r>
    </w:p>
    <w:p>
      <w:pPr>
        <w:adjustRightInd w:val="0"/>
        <w:snapToGrid w:val="0"/>
        <w:spacing w:beforeLines="50" w:afterLines="50" w:line="440" w:lineRule="exact"/>
        <w:ind w:firstLine="384" w:firstLineChars="15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8.1不可抗力是指不能预见、不能避免且不能克服的客观情况。</w:t>
      </w:r>
    </w:p>
    <w:p>
      <w:pPr>
        <w:adjustRightInd w:val="0"/>
        <w:snapToGrid w:val="0"/>
        <w:spacing w:beforeLines="50" w:afterLines="50" w:line="440" w:lineRule="exact"/>
        <w:ind w:firstLine="384" w:firstLineChars="15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8.2因不可抗力事件而影响本合同履行的，受不可抗力影响的一方须在不可抗力事件发生后7天内将不可抗力事件的发生以及受其影响的程度以书面方式通知另一方，并在合理期限内（原则上不超过15天）向另一方提交有关当局或机构出具的证明文件。</w:t>
      </w:r>
    </w:p>
    <w:p>
      <w:pPr>
        <w:adjustRightInd w:val="0"/>
        <w:snapToGrid w:val="0"/>
        <w:spacing w:beforeLines="50" w:afterLines="50" w:line="440" w:lineRule="exact"/>
        <w:ind w:firstLine="384" w:firstLineChars="15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8.3受不可抗力影响的一方应及时采取必要措施减少或消除不可抗力的影响，并在不可抗力事件结束后尽快恢复履行（无法履行或履行已无必要的除外）。</w:t>
      </w:r>
    </w:p>
    <w:p>
      <w:pPr>
        <w:adjustRightInd w:val="0"/>
        <w:snapToGrid w:val="0"/>
        <w:spacing w:beforeLines="50" w:afterLines="50" w:line="440" w:lineRule="exact"/>
        <w:ind w:firstLine="384" w:firstLineChars="150"/>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8.4满足上述条件下的一方或双方，因不可抗力事件导致不能履行或延迟履行合同的，可免除其相应违约责任。</w:t>
      </w:r>
    </w:p>
    <w:p>
      <w:pPr>
        <w:adjustRightInd w:val="0"/>
        <w:snapToGrid w:val="0"/>
        <w:spacing w:beforeLines="50" w:afterLines="50" w:line="440" w:lineRule="exact"/>
        <w:rPr>
          <w:rFonts w:asciiTheme="minorEastAsia" w:hAnsiTheme="minorEastAsia" w:eastAsiaTheme="minorEastAsia"/>
          <w:b/>
          <w:bCs/>
          <w:spacing w:val="8"/>
          <w:sz w:val="24"/>
          <w:szCs w:val="24"/>
        </w:rPr>
      </w:pPr>
      <w:r>
        <w:rPr>
          <w:rFonts w:hint="eastAsia" w:asciiTheme="minorEastAsia" w:hAnsiTheme="minorEastAsia" w:eastAsiaTheme="minorEastAsia"/>
          <w:b/>
          <w:bCs/>
          <w:spacing w:val="8"/>
          <w:sz w:val="24"/>
          <w:szCs w:val="24"/>
        </w:rPr>
        <w:t>第九条 争议解决和法律适用条款</w:t>
      </w:r>
    </w:p>
    <w:p>
      <w:pPr>
        <w:adjustRightInd w:val="0"/>
        <w:snapToGrid w:val="0"/>
        <w:spacing w:beforeLines="50" w:afterLines="50" w:line="440" w:lineRule="exact"/>
        <w:ind w:firstLine="512" w:firstLineChars="200"/>
        <w:rPr>
          <w:rFonts w:asciiTheme="minorEastAsia" w:hAnsiTheme="minorEastAsia" w:eastAsiaTheme="minorEastAsia"/>
          <w:bCs/>
          <w:spacing w:val="8"/>
          <w:sz w:val="24"/>
          <w:szCs w:val="24"/>
        </w:rPr>
      </w:pPr>
      <w:r>
        <w:rPr>
          <w:rFonts w:hint="eastAsia" w:asciiTheme="minorEastAsia" w:hAnsiTheme="minorEastAsia" w:eastAsiaTheme="minorEastAsia"/>
          <w:bCs/>
          <w:spacing w:val="8"/>
          <w:sz w:val="24"/>
          <w:szCs w:val="24"/>
        </w:rPr>
        <w:t>9.1因执行本合同所发生的或与本合同有关的任何争议，双方应通过协商解决。协商不成时，双方应将争议提交甲方所在地有管辖权的人民法院通过诉讼方式解决。</w:t>
      </w:r>
    </w:p>
    <w:p>
      <w:pPr>
        <w:adjustRightInd w:val="0"/>
        <w:snapToGrid w:val="0"/>
        <w:spacing w:beforeLines="50" w:afterLines="50" w:line="440" w:lineRule="exact"/>
        <w:ind w:firstLine="512" w:firstLineChars="200"/>
        <w:rPr>
          <w:rFonts w:asciiTheme="minorEastAsia" w:hAnsiTheme="minorEastAsia" w:eastAsiaTheme="minorEastAsia"/>
          <w:bCs/>
          <w:spacing w:val="8"/>
          <w:sz w:val="24"/>
          <w:szCs w:val="24"/>
        </w:rPr>
      </w:pPr>
      <w:r>
        <w:rPr>
          <w:rFonts w:hint="eastAsia" w:asciiTheme="minorEastAsia" w:hAnsiTheme="minorEastAsia" w:eastAsiaTheme="minorEastAsia"/>
          <w:bCs/>
          <w:spacing w:val="8"/>
          <w:sz w:val="24"/>
          <w:szCs w:val="24"/>
        </w:rPr>
        <w:t>9.2本合同的订立、效力、执行和解释及争议的解决均应适用中华人民共和国法律。</w:t>
      </w:r>
    </w:p>
    <w:p>
      <w:pPr>
        <w:adjustRightInd w:val="0"/>
        <w:snapToGrid w:val="0"/>
        <w:spacing w:beforeLines="50" w:afterLines="50"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诚信自律特别条款</w:t>
      </w:r>
    </w:p>
    <w:p>
      <w:pPr>
        <w:widowControl/>
        <w:adjustRightInd w:val="0"/>
        <w:snapToGrid w:val="0"/>
        <w:spacing w:beforeLines="50" w:afterLines="50" w:line="440" w:lineRule="exact"/>
        <w:ind w:firstLine="480" w:firstLineChars="200"/>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甲乙双方承诺在业务往来期间严格遵守诚信自律协议约定，具体详见附件《诚信自律特别协议》。</w:t>
      </w:r>
    </w:p>
    <w:p>
      <w:pPr>
        <w:widowControl/>
        <w:adjustRightInd w:val="0"/>
        <w:snapToGrid w:val="0"/>
        <w:spacing w:beforeLines="50" w:afterLines="50"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知识产权</w:t>
      </w:r>
    </w:p>
    <w:p>
      <w:pPr>
        <w:widowControl/>
        <w:adjustRightInd w:val="0"/>
        <w:snapToGrid w:val="0"/>
        <w:spacing w:beforeLines="50" w:afterLines="50"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11.1甲方对乙方交付的工作成果享有所有权及其完全知识产权。工作成果包括但不限于因履行本合同而产生的构思、设计、图片、软件、手册、指南、产品、程序、绘图、记录、文件、信息、材料、发现和发明等。除为履行本合同义务外，未经甲方书面同意，乙方不得将前述工作成果用于其他用途。</w:t>
      </w:r>
    </w:p>
    <w:p>
      <w:pPr>
        <w:widowControl/>
        <w:adjustRightInd w:val="0"/>
        <w:snapToGrid w:val="0"/>
        <w:spacing w:beforeLines="50" w:afterLines="50" w:line="4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乙方保证其提供的产品、服务及相关工作成果不会侵犯任何第三方的知识产权或其他合法权益。如因乙方侵犯第三方权益导致甲方【包括甲方实际控制人、关联公司】被提起诉讼的，由乙方应诉并承担全部责任；如乙方按照甲方施工方案要求所提供的产品、服务及相关工作成果造成第三方的知识产权或其他合法权益受到侵害，由甲方承担全部责任；如因乙方交付的产品、服务及相关工作成果被查封、扣押或者被采取其它行政、司法措施，导致甲方无法按照计划使用产品或服务，或者被作为被告、第三人参加诉讼的，乙方应一次性支付合同金额的2倍违约金并赔偿包括但不限于甲方因应诉而产生的律师费、公证费、差旅费等所有费用。</w:t>
      </w:r>
    </w:p>
    <w:p>
      <w:pPr>
        <w:widowControl/>
        <w:adjustRightInd w:val="0"/>
        <w:snapToGrid w:val="0"/>
        <w:spacing w:beforeLines="50" w:afterLines="50" w:line="44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合同双方保证本合同生效之前为各方所完全享有的知识产权，仍为各方所有。乙方交付的工作成果中含有乙方或第三方所有的知识产权的，甲方【包括甲方实际控制人、关联公司】享有非专有的永久许可权，不再另行支付任何费用。未经甲方书面授权，乙方不得擅自使用甲方既有知识产权（包括但不限于商标、专利、技术秘密等）；但因履行本合同，不可避免的利用到上述权利的情形除外。</w:t>
      </w:r>
    </w:p>
    <w:p>
      <w:pPr>
        <w:adjustRightInd w:val="0"/>
        <w:snapToGrid w:val="0"/>
        <w:spacing w:beforeLines="50" w:afterLines="50" w:line="44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第十二条 生效及其他</w:t>
      </w:r>
    </w:p>
    <w:p>
      <w:pPr>
        <w:adjustRightInd w:val="0"/>
        <w:snapToGrid w:val="0"/>
        <w:spacing w:beforeLines="50" w:afterLines="50"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12.1本合同自甲乙双方法定代表或委托代理人签字并加盖公章或者合同专用章之日起生效。</w:t>
      </w:r>
    </w:p>
    <w:p>
      <w:pPr>
        <w:adjustRightInd w:val="0"/>
        <w:snapToGrid w:val="0"/>
        <w:spacing w:beforeLines="50" w:afterLines="50"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12.2本合同及其附件生效后不得随意更改。对合同内容的任何更改、修订或增减，必须经双方协商一致后签署补充协议。除本合同及其补充协议，任何对本合同的修改均视为无效。</w:t>
      </w:r>
    </w:p>
    <w:p>
      <w:pPr>
        <w:adjustRightInd w:val="0"/>
        <w:snapToGrid w:val="0"/>
        <w:spacing w:beforeLines="50" w:afterLines="50"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12.3本合同甲方的签字人均为有限授权，除本合同具体条款约定的授权范围及内容，超出本合同约定授权范围的签字，甲方不予认可，该等超出授权范围的签字行为对甲方不产生法律效力。</w:t>
      </w:r>
    </w:p>
    <w:p>
      <w:pPr>
        <w:adjustRightInd w:val="0"/>
        <w:snapToGrid w:val="0"/>
        <w:spacing w:beforeLines="50" w:afterLines="50" w:line="44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12.4与本合同有关的任何文件、资料，未经甲方法定代表人（或甲方明确授权的委托代理人）签字并加盖甲方公章（或合同专用章）的，对甲方均不发生法律效力。</w:t>
      </w:r>
    </w:p>
    <w:p>
      <w:pPr>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附件：1．《</w:t>
      </w:r>
      <w:r>
        <w:rPr>
          <w:rFonts w:hint="eastAsia" w:asciiTheme="minorEastAsia" w:hAnsiTheme="minorEastAsia" w:eastAsiaTheme="minorEastAsia"/>
          <w:sz w:val="24"/>
          <w:szCs w:val="24"/>
        </w:rPr>
        <w:t>百色百矿发电有限公司2023年#2机组C修#2锅炉返料器金属膨胀节更换项目技术规范书</w:t>
      </w:r>
      <w:r>
        <w:rPr>
          <w:rFonts w:hint="eastAsia" w:asciiTheme="minorEastAsia" w:hAnsiTheme="minorEastAsia" w:eastAsiaTheme="minorEastAsia" w:cstheme="minorEastAsia"/>
          <w:color w:val="auto"/>
          <w:sz w:val="24"/>
          <w:szCs w:val="24"/>
        </w:rPr>
        <w:t>》</w:t>
      </w:r>
    </w:p>
    <w:p>
      <w:pPr>
        <w:numPr>
          <w:numId w:val="0"/>
        </w:numPr>
        <w:spacing w:line="520" w:lineRule="exact"/>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《施工安全环保管理协议》</w:t>
      </w:r>
    </w:p>
    <w:p>
      <w:pPr>
        <w:numPr>
          <w:ilvl w:val="0"/>
          <w:numId w:val="0"/>
        </w:numPr>
        <w:spacing w:line="520" w:lineRule="exact"/>
        <w:ind w:firstLine="1200" w:firstLineChars="5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3.《诚信自律特别协议》</w:t>
      </w:r>
    </w:p>
    <w:p>
      <w:pPr>
        <w:pStyle w:val="2"/>
        <w:numPr>
          <w:numId w:val="0"/>
        </w:numPr>
        <w:ind w:left="1050" w:leftChars="0"/>
      </w:pPr>
    </w:p>
    <w:p>
      <w:pPr>
        <w:spacing w:line="520" w:lineRule="exact"/>
        <w:ind w:firstLine="480" w:firstLineChars="20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以下无正文。</w:t>
      </w:r>
    </w:p>
    <w:p>
      <w:pPr>
        <w:spacing w:line="52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pStyle w:val="6"/>
        <w:rPr>
          <w:rFonts w:hint="eastAsia"/>
        </w:rPr>
      </w:pPr>
    </w:p>
    <w:p>
      <w:pPr>
        <w:rPr>
          <w:rFonts w:hint="eastAsia"/>
        </w:rPr>
      </w:pPr>
    </w:p>
    <w:p>
      <w:pPr>
        <w:pStyle w:val="2"/>
        <w:rPr>
          <w:rFonts w:hint="eastAsia"/>
        </w:rPr>
      </w:pPr>
    </w:p>
    <w:p>
      <w:pPr>
        <w:pStyle w:val="4"/>
        <w:rPr>
          <w:rFonts w:hint="eastAsia"/>
        </w:rPr>
      </w:pPr>
    </w:p>
    <w:p>
      <w:pPr>
        <w:pStyle w:val="4"/>
        <w:rPr>
          <w:rFonts w:hint="eastAsia"/>
        </w:rPr>
      </w:pPr>
    </w:p>
    <w:tbl>
      <w:tblPr>
        <w:tblStyle w:val="18"/>
        <w:tblpPr w:leftFromText="180" w:rightFromText="180" w:vertAnchor="text" w:horzAnchor="page" w:tblpX="1710" w:tblpY="15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spacing w:line="390" w:lineRule="exact"/>
              <w:jc w:val="both"/>
              <w:rPr>
                <w:rFonts w:ascii="宋体" w:hAnsi="宋体" w:cs="Arial"/>
                <w:sz w:val="24"/>
                <w:szCs w:val="24"/>
              </w:rPr>
            </w:pPr>
            <w:r>
              <w:rPr>
                <w:rFonts w:hint="eastAsia" w:ascii="宋体" w:hAnsi="宋体" w:cs="Arial"/>
                <w:sz w:val="24"/>
              </w:rPr>
              <w:t>甲方：</w:t>
            </w:r>
            <w:r>
              <w:rPr>
                <w:rFonts w:hint="eastAsia" w:ascii="宋体" w:hAnsi="宋体" w:cs="Arial"/>
                <w:b/>
                <w:bCs/>
                <w:sz w:val="24"/>
                <w:szCs w:val="24"/>
                <w:lang w:val="en-US" w:eastAsia="zh-CN"/>
              </w:rPr>
              <w:t>百色百矿发电有限公司</w:t>
            </w:r>
          </w:p>
        </w:tc>
        <w:tc>
          <w:tcPr>
            <w:tcW w:w="4133" w:type="dxa"/>
            <w:noWrap w:val="0"/>
            <w:vAlign w:val="center"/>
          </w:tcPr>
          <w:p>
            <w:pPr>
              <w:spacing w:before="156" w:beforeLines="50" w:after="156" w:afterLines="50" w:line="440" w:lineRule="exact"/>
              <w:jc w:val="both"/>
              <w:rPr>
                <w:rFonts w:ascii="宋体" w:hAnsi="宋体" w:cs="Arial"/>
                <w:sz w:val="24"/>
                <w:szCs w:val="24"/>
              </w:rPr>
            </w:pPr>
            <w:r>
              <w:rPr>
                <w:rFonts w:hint="eastAsia" w:ascii="宋体" w:hAnsi="宋体" w:cs="Arial"/>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rPr>
            </w:pPr>
            <w:r>
              <w:rPr>
                <w:rFonts w:hint="eastAsia" w:ascii="宋体" w:hAnsi="宋体" w:cs="Arial"/>
                <w:sz w:val="24"/>
                <w:szCs w:val="24"/>
              </w:rPr>
              <w:t>法定代表人或授权代理人：</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p>
        </w:tc>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rPr>
            </w:pPr>
            <w:r>
              <w:rPr>
                <w:rFonts w:hint="eastAsia" w:ascii="宋体" w:hAnsi="宋体" w:cs="Arial"/>
                <w:sz w:val="24"/>
                <w:szCs w:val="24"/>
              </w:rPr>
              <w:t>法定代表人或授权代理人：</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eastAsia="宋体" w:cs="宋体"/>
                <w:sz w:val="24"/>
                <w:szCs w:val="24"/>
                <w:lang w:val="en-US" w:eastAsia="zh-CN"/>
              </w:rPr>
            </w:pPr>
            <w:r>
              <w:rPr>
                <w:rFonts w:hint="eastAsia" w:ascii="宋体" w:hAnsi="宋体" w:cs="Arial"/>
                <w:sz w:val="24"/>
                <w:szCs w:val="24"/>
                <w:lang w:val="en-US" w:eastAsia="zh-CN"/>
              </w:rPr>
              <w:t>地址：</w:t>
            </w:r>
            <w:r>
              <w:rPr>
                <w:rFonts w:hint="eastAsia" w:ascii="宋体" w:hAnsi="宋体" w:eastAsia="宋体" w:cs="宋体"/>
                <w:i w:val="0"/>
                <w:caps w:val="0"/>
                <w:color w:val="1D2221"/>
                <w:spacing w:val="0"/>
                <w:sz w:val="24"/>
                <w:szCs w:val="24"/>
                <w:shd w:val="clear" w:color="auto" w:fill="FFFFFF"/>
              </w:rPr>
              <w:t>广西百色市田阳区头塘镇二塘村</w:t>
            </w:r>
          </w:p>
        </w:tc>
        <w:tc>
          <w:tcPr>
            <w:tcW w:w="4133" w:type="dxa"/>
            <w:noWrap w:val="0"/>
            <w:vAlign w:val="center"/>
          </w:tcPr>
          <w:p>
            <w:pPr>
              <w:rPr>
                <w:rFonts w:hint="default" w:ascii="宋体" w:hAnsi="宋体" w:cs="Arial"/>
                <w:sz w:val="24"/>
                <w:szCs w:val="24"/>
                <w:highlight w:val="none"/>
                <w:lang w:val="en-US" w:eastAsia="zh-CN"/>
              </w:rPr>
            </w:pPr>
            <w:r>
              <w:rPr>
                <w:rFonts w:hint="eastAsia" w:ascii="宋体" w:hAnsi="宋体" w:cs="Arial"/>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lang w:val="en-US" w:eastAsia="zh-CN"/>
              </w:rPr>
            </w:pPr>
            <w:r>
              <w:rPr>
                <w:rFonts w:hint="eastAsia" w:ascii="宋体" w:hAnsi="宋体" w:cs="Arial"/>
                <w:sz w:val="24"/>
                <w:szCs w:val="24"/>
                <w:lang w:val="en-US" w:eastAsia="zh-CN"/>
              </w:rPr>
              <w:t>联 系 人：</w:t>
            </w:r>
          </w:p>
        </w:tc>
        <w:tc>
          <w:tcPr>
            <w:tcW w:w="4133" w:type="dxa"/>
            <w:noWrap w:val="0"/>
            <w:vAlign w:val="center"/>
          </w:tcPr>
          <w:p>
            <w:pPr>
              <w:adjustRightInd w:val="0"/>
              <w:snapToGrid w:val="0"/>
              <w:spacing w:beforeLines="50" w:afterLines="50" w:line="440" w:lineRule="exact"/>
              <w:rPr>
                <w:rFonts w:hint="default" w:ascii="宋体" w:hAnsi="宋体" w:cs="Arial"/>
                <w:sz w:val="24"/>
                <w:szCs w:val="24"/>
                <w:highlight w:val="none"/>
                <w:lang w:val="en-US" w:eastAsia="zh-CN"/>
              </w:rPr>
            </w:pPr>
            <w:r>
              <w:rPr>
                <w:rFonts w:hint="eastAsia" w:ascii="宋体" w:hAnsi="宋体" w:cs="Arial"/>
                <w:sz w:val="24"/>
                <w:szCs w:val="24"/>
                <w:highlight w:val="none"/>
              </w:rPr>
              <w:t xml:space="preserve">联 系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lang w:val="en-US" w:eastAsia="zh-CN"/>
              </w:rPr>
            </w:pPr>
            <w:r>
              <w:rPr>
                <w:rFonts w:hint="eastAsia" w:ascii="宋体" w:hAnsi="宋体" w:cs="Arial"/>
                <w:sz w:val="24"/>
                <w:szCs w:val="24"/>
                <w:lang w:val="en-US" w:eastAsia="zh-CN"/>
              </w:rPr>
              <w:t>电话：</w:t>
            </w:r>
          </w:p>
        </w:tc>
        <w:tc>
          <w:tcPr>
            <w:tcW w:w="4133" w:type="dxa"/>
            <w:noWrap w:val="0"/>
            <w:vAlign w:val="center"/>
          </w:tcPr>
          <w:p>
            <w:pPr>
              <w:adjustRightInd w:val="0"/>
              <w:snapToGrid w:val="0"/>
              <w:spacing w:beforeLines="50" w:afterLines="50" w:line="440" w:lineRule="exact"/>
              <w:rPr>
                <w:rFonts w:hint="default" w:ascii="宋体" w:hAnsi="宋体" w:cs="Arial"/>
                <w:sz w:val="24"/>
                <w:szCs w:val="24"/>
                <w:highlight w:val="none"/>
                <w:lang w:val="en-US" w:eastAsia="zh-CN"/>
              </w:rPr>
            </w:pPr>
            <w:r>
              <w:rPr>
                <w:rFonts w:hint="eastAsia" w:ascii="宋体" w:hAnsi="宋体" w:cs="Arial"/>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lang w:val="en-US" w:eastAsia="zh-CN"/>
              </w:rPr>
            </w:pPr>
            <w:r>
              <w:rPr>
                <w:rFonts w:hint="eastAsia" w:ascii="宋体" w:hAnsi="宋体" w:cs="Arial"/>
                <w:sz w:val="24"/>
                <w:szCs w:val="24"/>
                <w:lang w:val="en-US" w:eastAsia="zh-CN"/>
              </w:rPr>
              <w:t>开户行：广西百色右江农村合作银行城郊支行</w:t>
            </w:r>
          </w:p>
        </w:tc>
        <w:tc>
          <w:tcPr>
            <w:tcW w:w="4133" w:type="dxa"/>
            <w:noWrap w:val="0"/>
            <w:vAlign w:val="center"/>
          </w:tcPr>
          <w:p>
            <w:pPr>
              <w:adjustRightInd w:val="0"/>
              <w:snapToGrid w:val="0"/>
              <w:spacing w:beforeLines="50" w:afterLines="50" w:line="440" w:lineRule="exact"/>
              <w:rPr>
                <w:rFonts w:hint="eastAsia" w:ascii="宋体" w:hAnsi="宋体" w:cs="Arial"/>
                <w:sz w:val="24"/>
                <w:szCs w:val="24"/>
                <w:highlight w:val="none"/>
                <w:lang w:val="en-US" w:eastAsia="zh-CN"/>
              </w:rPr>
            </w:pPr>
            <w:r>
              <w:rPr>
                <w:rFonts w:hint="eastAsia" w:ascii="宋体" w:hAnsi="宋体" w:cs="Arial"/>
                <w:sz w:val="24"/>
                <w:szCs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spacing w:before="78" w:beforeLines="25" w:after="78" w:afterLines="25" w:line="440" w:lineRule="exact"/>
              <w:rPr>
                <w:rFonts w:hint="eastAsia" w:ascii="宋体" w:hAnsi="宋体" w:cs="Arial"/>
                <w:sz w:val="24"/>
                <w:szCs w:val="24"/>
                <w:lang w:val="en-US" w:eastAsia="zh-CN"/>
              </w:rPr>
            </w:pPr>
            <w:r>
              <w:rPr>
                <w:rFonts w:hint="eastAsia" w:ascii="宋体" w:hAnsi="宋体" w:cs="Arial"/>
                <w:sz w:val="24"/>
                <w:szCs w:val="24"/>
                <w:lang w:val="en-US" w:eastAsia="zh-CN"/>
              </w:rPr>
              <w:t>帐号：603512010108950888</w:t>
            </w:r>
          </w:p>
        </w:tc>
        <w:tc>
          <w:tcPr>
            <w:tcW w:w="4133" w:type="dxa"/>
            <w:noWrap w:val="0"/>
            <w:vAlign w:val="center"/>
          </w:tcPr>
          <w:p>
            <w:pPr>
              <w:adjustRightInd w:val="0"/>
              <w:snapToGrid w:val="0"/>
              <w:spacing w:beforeLines="50" w:afterLines="50" w:line="440" w:lineRule="exact"/>
              <w:rPr>
                <w:rFonts w:hint="default" w:ascii="宋体" w:hAnsi="宋体" w:cs="Arial"/>
                <w:sz w:val="24"/>
                <w:szCs w:val="24"/>
                <w:highlight w:val="none"/>
                <w:lang w:val="en-US" w:eastAsia="zh-CN"/>
              </w:rPr>
            </w:pPr>
            <w:r>
              <w:rPr>
                <w:rFonts w:hint="eastAsia" w:ascii="宋体" w:hAnsi="宋体" w:cs="Arial"/>
                <w:sz w:val="24"/>
                <w:szCs w:val="24"/>
                <w:highlight w:val="none"/>
              </w:rPr>
              <w:t xml:space="preserve">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p>
            <w:pPr>
              <w:adjustRightInd w:val="0"/>
              <w:snapToGrid w:val="0"/>
              <w:spacing w:before="156" w:beforeLines="50" w:after="156" w:afterLines="50" w:line="440" w:lineRule="exact"/>
              <w:ind w:firstLine="1680" w:firstLineChars="700"/>
              <w:rPr>
                <w:rFonts w:hint="eastAsia" w:ascii="宋体" w:hAnsi="宋体" w:cs="Arial"/>
                <w:sz w:val="24"/>
                <w:szCs w:val="24"/>
                <w:lang w:val="en-US" w:eastAsia="zh-CN"/>
              </w:rPr>
            </w:pPr>
            <w:r>
              <w:rPr>
                <w:rFonts w:hint="eastAsia" w:ascii="宋体" w:hAnsi="宋体" w:eastAsia="宋体" w:cs="宋体"/>
                <w:sz w:val="24"/>
                <w:szCs w:val="24"/>
              </w:rPr>
              <w:t>91451021090719587L</w:t>
            </w:r>
          </w:p>
        </w:tc>
        <w:tc>
          <w:tcPr>
            <w:tcW w:w="4133" w:type="dxa"/>
            <w:noWrap w:val="0"/>
            <w:vAlign w:val="center"/>
          </w:tcPr>
          <w:p>
            <w:pPr>
              <w:adjustRightInd w:val="0"/>
              <w:snapToGrid w:val="0"/>
              <w:spacing w:before="156" w:beforeLines="50" w:after="156" w:afterLines="5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pPr>
              <w:adjustRightInd w:val="0"/>
              <w:snapToGrid w:val="0"/>
              <w:spacing w:before="156" w:beforeLines="50" w:after="156" w:afterLines="50" w:line="440" w:lineRule="exact"/>
              <w:ind w:firstLine="1680" w:firstLineChars="700"/>
              <w:rPr>
                <w:rFonts w:hint="eastAsia" w:ascii="宋体" w:hAnsi="宋体" w:cs="Arial"/>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lang w:val="en-US" w:eastAsia="zh-CN"/>
              </w:rPr>
            </w:pPr>
            <w:r>
              <w:rPr>
                <w:rFonts w:hint="eastAsia" w:ascii="宋体" w:hAnsi="宋体" w:cs="Arial"/>
                <w:sz w:val="24"/>
                <w:szCs w:val="24"/>
                <w:lang w:val="en-US" w:eastAsia="zh-CN"/>
              </w:rPr>
              <w:t>签订日期：</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日</w:t>
            </w:r>
          </w:p>
        </w:tc>
        <w:tc>
          <w:tcPr>
            <w:tcW w:w="4133" w:type="dxa"/>
            <w:noWrap w:val="0"/>
            <w:vAlign w:val="center"/>
          </w:tcPr>
          <w:p>
            <w:pPr>
              <w:adjustRightInd w:val="0"/>
              <w:snapToGrid w:val="0"/>
              <w:spacing w:before="156" w:beforeLines="50" w:after="156" w:afterLines="50" w:line="440" w:lineRule="exact"/>
              <w:rPr>
                <w:rFonts w:hint="eastAsia" w:ascii="宋体" w:hAnsi="宋体" w:cs="Arial"/>
                <w:sz w:val="24"/>
                <w:szCs w:val="24"/>
                <w:lang w:val="en-US" w:eastAsia="zh-CN"/>
              </w:rPr>
            </w:pPr>
            <w:r>
              <w:rPr>
                <w:rFonts w:hint="eastAsia" w:ascii="宋体" w:hAnsi="宋体" w:cs="Arial"/>
                <w:sz w:val="24"/>
                <w:szCs w:val="24"/>
                <w:lang w:val="en-US" w:eastAsia="zh-CN"/>
              </w:rPr>
              <w:t>签订日期：</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年</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cs="宋体"/>
                <w:color w:val="000000"/>
                <w:sz w:val="24"/>
                <w:szCs w:val="24"/>
                <w:lang w:val="en-US" w:eastAsia="zh-CN"/>
              </w:rPr>
              <w:t xml:space="preserve">  </w:t>
            </w:r>
            <w:r>
              <w:rPr>
                <w:rFonts w:hint="eastAsia" w:ascii="宋体" w:hAnsi="宋体" w:eastAsia="宋体" w:cs="宋体"/>
                <w:color w:val="000000"/>
                <w:sz w:val="24"/>
                <w:szCs w:val="24"/>
              </w:rPr>
              <w:t>日</w:t>
            </w:r>
          </w:p>
        </w:tc>
      </w:tr>
    </w:tbl>
    <w:p>
      <w:pPr>
        <w:spacing w:line="52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520" w:lineRule="exact"/>
        <w:ind w:firstLine="480" w:firstLineChars="200"/>
        <w:rPr>
          <w:rFonts w:asciiTheme="majorEastAsia" w:hAnsiTheme="majorEastAsia" w:eastAsiaTheme="majorEastAsia"/>
          <w:sz w:val="24"/>
          <w:szCs w:val="24"/>
        </w:rPr>
      </w:pPr>
    </w:p>
    <w:p>
      <w:pPr>
        <w:snapToGrid w:val="0"/>
        <w:spacing w:beforeLines="25" w:afterLines="25" w:line="440" w:lineRule="exact"/>
        <w:rPr>
          <w:rFonts w:asciiTheme="minorEastAsia" w:hAnsiTheme="minorEastAsia" w:eastAsiaTheme="minorEastAsia"/>
          <w:b/>
          <w:sz w:val="24"/>
          <w:szCs w:val="24"/>
        </w:rPr>
      </w:pPr>
    </w:p>
    <w:p>
      <w:pPr>
        <w:snapToGrid w:val="0"/>
        <w:spacing w:beforeLines="25" w:afterLines="25" w:line="440" w:lineRule="exact"/>
        <w:rPr>
          <w:rFonts w:asciiTheme="minorEastAsia" w:hAnsiTheme="minorEastAsia" w:eastAsiaTheme="minorEastAsia"/>
          <w:b/>
          <w:sz w:val="24"/>
          <w:szCs w:val="24"/>
        </w:rPr>
      </w:pPr>
    </w:p>
    <w:p>
      <w:pPr>
        <w:widowControl/>
        <w:jc w:val="left"/>
        <w:rPr>
          <w:rFonts w:ascii="宋体" w:hAnsi="宋体" w:cs="微软雅黑"/>
          <w:b/>
          <w:sz w:val="32"/>
          <w:szCs w:val="20"/>
        </w:rPr>
      </w:pPr>
    </w:p>
    <w:p>
      <w:pPr>
        <w:pStyle w:val="2"/>
      </w:pPr>
    </w:p>
    <w:p>
      <w:pPr>
        <w:pStyle w:val="4"/>
      </w:pPr>
    </w:p>
    <w:p>
      <w:pPr>
        <w:pStyle w:val="4"/>
      </w:pP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附件1：</w:t>
      </w:r>
      <w:r>
        <w:rPr>
          <w:rFonts w:hint="eastAsia" w:asciiTheme="majorEastAsia" w:hAnsiTheme="majorEastAsia" w:eastAsiaTheme="majorEastAsia"/>
          <w:sz w:val="24"/>
          <w:szCs w:val="24"/>
        </w:rPr>
        <w:t>《</w:t>
      </w:r>
      <w:r>
        <w:rPr>
          <w:rFonts w:hint="eastAsia" w:asciiTheme="minorEastAsia" w:hAnsiTheme="minorEastAsia" w:eastAsiaTheme="minorEastAsia"/>
          <w:sz w:val="24"/>
          <w:szCs w:val="24"/>
        </w:rPr>
        <w:t>百色百矿发电有限公司2023年#2机组C修#2锅炉返料器金属膨胀节更换项目技术规范书</w:t>
      </w:r>
      <w:r>
        <w:rPr>
          <w:rFonts w:hint="eastAsia" w:asciiTheme="majorEastAsia" w:hAnsiTheme="majorEastAsia" w:eastAsiaTheme="majorEastAsia"/>
          <w:sz w:val="24"/>
          <w:szCs w:val="24"/>
        </w:rPr>
        <w:t>》</w:t>
      </w:r>
    </w:p>
    <w:p>
      <w:pPr>
        <w:tabs>
          <w:tab w:val="left" w:pos="0"/>
          <w:tab w:val="decimal" w:pos="8460"/>
          <w:tab w:val="right" w:leader="dot" w:pos="10800"/>
        </w:tabs>
        <w:autoSpaceDE w:val="0"/>
        <w:autoSpaceDN w:val="0"/>
        <w:ind w:right="-62"/>
        <w:rPr>
          <w:rFonts w:cs="黑体" w:asciiTheme="minorEastAsia" w:hAnsiTheme="minorEastAsia" w:eastAsiaTheme="minorEastAsia"/>
          <w:bCs/>
          <w:sz w:val="52"/>
          <w:szCs w:val="52"/>
          <w:lang w:val="zh-CN"/>
        </w:rPr>
      </w:pPr>
    </w:p>
    <w:p>
      <w:pPr>
        <w:pStyle w:val="5"/>
        <w:jc w:val="center"/>
        <w:rPr>
          <w:rFonts w:ascii="宋体" w:hAnsi="宋体"/>
        </w:rPr>
      </w:pPr>
    </w:p>
    <w:p>
      <w:pPr>
        <w:pStyle w:val="10"/>
        <w:widowControl/>
        <w:tabs>
          <w:tab w:val="left" w:pos="-480"/>
        </w:tabs>
        <w:spacing w:line="360" w:lineRule="auto"/>
        <w:ind w:left="-48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百色百矿发电有限公司2023年#2机组C修</w:t>
      </w:r>
    </w:p>
    <w:p>
      <w:pPr>
        <w:pStyle w:val="10"/>
        <w:widowControl/>
        <w:tabs>
          <w:tab w:val="left" w:pos="-480"/>
        </w:tabs>
        <w:spacing w:line="360" w:lineRule="auto"/>
        <w:ind w:left="-48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#2锅炉返料器金属膨胀节更换项目技术规范书</w:t>
      </w:r>
    </w:p>
    <w:p>
      <w:pPr>
        <w:pStyle w:val="10"/>
        <w:widowControl/>
        <w:tabs>
          <w:tab w:val="left" w:pos="-480"/>
        </w:tabs>
        <w:spacing w:line="360" w:lineRule="auto"/>
        <w:ind w:left="-480"/>
        <w:jc w:val="both"/>
        <w:rPr>
          <w:rFonts w:hint="eastAsia" w:ascii="宋体" w:hAnsi="宋体" w:eastAsia="宋体" w:cs="宋体"/>
          <w:sz w:val="36"/>
          <w:szCs w:val="36"/>
        </w:rPr>
      </w:pPr>
    </w:p>
    <w:p>
      <w:pPr>
        <w:spacing w:line="360" w:lineRule="auto"/>
        <w:ind w:firstLine="1958" w:firstLineChars="650"/>
        <w:rPr>
          <w:rFonts w:ascii="宋体" w:hAnsi="宋体" w:cs="Courier New"/>
          <w:b/>
          <w:sz w:val="30"/>
          <w:szCs w:val="30"/>
        </w:rPr>
      </w:pPr>
    </w:p>
    <w:p>
      <w:pPr>
        <w:spacing w:line="360" w:lineRule="auto"/>
        <w:ind w:firstLine="1920" w:firstLineChars="600"/>
        <w:rPr>
          <w:rFonts w:ascii="宋体" w:hAnsi="宋体" w:cs="黑体"/>
          <w:bCs/>
          <w:kern w:val="32"/>
          <w:sz w:val="32"/>
          <w:szCs w:val="32"/>
          <w:lang w:val="zh-CN"/>
        </w:rPr>
      </w:pPr>
    </w:p>
    <w:p>
      <w:pPr>
        <w:spacing w:line="360" w:lineRule="auto"/>
        <w:ind w:firstLine="1920" w:firstLineChars="600"/>
        <w:rPr>
          <w:rFonts w:ascii="宋体" w:hAnsi="宋体" w:cs="黑体"/>
          <w:bCs/>
          <w:kern w:val="32"/>
          <w:sz w:val="32"/>
          <w:szCs w:val="32"/>
          <w:lang w:val="zh-CN"/>
        </w:rPr>
      </w:pPr>
    </w:p>
    <w:p>
      <w:pPr>
        <w:spacing w:line="360" w:lineRule="auto"/>
        <w:ind w:firstLine="1920" w:firstLineChars="600"/>
        <w:rPr>
          <w:rFonts w:ascii="宋体" w:hAnsi="宋体" w:cs="黑体"/>
          <w:bCs/>
          <w:kern w:val="32"/>
          <w:sz w:val="32"/>
          <w:szCs w:val="32"/>
          <w:lang w:val="zh-CN"/>
        </w:rPr>
      </w:pPr>
    </w:p>
    <w:p>
      <w:pPr>
        <w:spacing w:line="360" w:lineRule="auto"/>
        <w:ind w:firstLine="1920" w:firstLineChars="600"/>
        <w:rPr>
          <w:rFonts w:ascii="宋体" w:hAnsi="宋体" w:cs="黑体"/>
          <w:bCs/>
          <w:kern w:val="32"/>
          <w:sz w:val="32"/>
          <w:szCs w:val="32"/>
          <w:lang w:val="zh-CN"/>
        </w:rPr>
      </w:pPr>
    </w:p>
    <w:p>
      <w:pPr>
        <w:ind w:firstLine="1920" w:firstLineChars="600"/>
        <w:rPr>
          <w:rFonts w:hint="eastAsia" w:ascii="宋体" w:hAnsi="宋体" w:cs="宋体"/>
          <w:bCs/>
          <w:sz w:val="32"/>
          <w:szCs w:val="32"/>
          <w:lang w:val="zh-CN"/>
        </w:rPr>
      </w:pPr>
      <w:r>
        <w:rPr>
          <w:rFonts w:hint="eastAsia" w:ascii="宋体" w:hAnsi="宋体" w:cs="黑体"/>
          <w:bCs/>
          <w:kern w:val="32"/>
          <w:sz w:val="32"/>
          <w:szCs w:val="32"/>
          <w:lang w:val="zh-CN"/>
        </w:rPr>
        <w:t>甲方：</w:t>
      </w:r>
      <w:r>
        <w:rPr>
          <w:rFonts w:hint="eastAsia" w:ascii="宋体" w:hAnsi="宋体" w:cs="宋体"/>
          <w:bCs/>
          <w:sz w:val="32"/>
          <w:szCs w:val="32"/>
          <w:lang w:val="en-US" w:eastAsia="zh-CN"/>
        </w:rPr>
        <w:t>百色百矿</w:t>
      </w:r>
      <w:r>
        <w:rPr>
          <w:rFonts w:hint="eastAsia" w:ascii="宋体" w:hAnsi="宋体" w:cs="宋体"/>
          <w:bCs/>
          <w:sz w:val="32"/>
          <w:szCs w:val="32"/>
        </w:rPr>
        <w:t>发电有限公司</w:t>
      </w:r>
    </w:p>
    <w:p>
      <w:pPr>
        <w:ind w:firstLine="1920" w:firstLineChars="600"/>
        <w:rPr>
          <w:rFonts w:hint="eastAsia" w:ascii="宋体" w:hAnsi="宋体" w:eastAsia="宋体" w:cs="宋体"/>
          <w:bCs/>
          <w:sz w:val="32"/>
          <w:szCs w:val="32"/>
          <w:lang w:val="zh-CN" w:eastAsia="zh-CN"/>
        </w:rPr>
      </w:pPr>
      <w:r>
        <w:rPr>
          <w:rFonts w:hint="eastAsia" w:ascii="宋体" w:hAnsi="宋体" w:cs="宋体"/>
          <w:bCs/>
          <w:sz w:val="32"/>
          <w:szCs w:val="32"/>
          <w:lang w:val="zh-CN"/>
        </w:rPr>
        <w:t>乙方：</w:t>
      </w:r>
    </w:p>
    <w:p>
      <w:pPr>
        <w:ind w:firstLine="1920" w:firstLineChars="600"/>
        <w:rPr>
          <w:rFonts w:ascii="宋体" w:hAnsi="宋体" w:cs="宋体"/>
          <w:bCs/>
          <w:sz w:val="32"/>
          <w:szCs w:val="32"/>
          <w:lang w:val="zh-CN"/>
        </w:rPr>
      </w:pPr>
      <w:r>
        <w:rPr>
          <w:rFonts w:hint="eastAsia" w:ascii="宋体" w:hAnsi="宋体" w:cs="宋体"/>
          <w:bCs/>
          <w:sz w:val="32"/>
          <w:szCs w:val="32"/>
          <w:lang w:val="zh-CN"/>
        </w:rPr>
        <w:t>日期：</w:t>
      </w:r>
      <w:r>
        <w:rPr>
          <w:rFonts w:hint="eastAsia" w:ascii="宋体" w:hAnsi="宋体" w:cs="宋体"/>
          <w:bCs/>
          <w:sz w:val="32"/>
          <w:szCs w:val="32"/>
        </w:rPr>
        <w:t>202</w:t>
      </w:r>
      <w:r>
        <w:rPr>
          <w:rFonts w:hint="eastAsia" w:ascii="宋体" w:hAnsi="宋体" w:cs="宋体"/>
          <w:bCs/>
          <w:sz w:val="32"/>
          <w:szCs w:val="32"/>
          <w:lang w:val="en-US" w:eastAsia="zh-CN"/>
        </w:rPr>
        <w:t xml:space="preserve">   </w:t>
      </w:r>
      <w:r>
        <w:rPr>
          <w:rFonts w:hint="eastAsia" w:ascii="宋体" w:hAnsi="宋体" w:cs="宋体"/>
          <w:bCs/>
          <w:sz w:val="32"/>
          <w:szCs w:val="32"/>
          <w:lang w:val="zh-CN"/>
        </w:rPr>
        <w:t>年</w:t>
      </w:r>
      <w:r>
        <w:rPr>
          <w:rFonts w:hint="eastAsia" w:ascii="宋体" w:hAnsi="宋体" w:cs="宋体"/>
          <w:bCs/>
          <w:sz w:val="32"/>
          <w:szCs w:val="32"/>
          <w:lang w:val="en-US" w:eastAsia="zh-CN"/>
        </w:rPr>
        <w:t xml:space="preserve">   </w:t>
      </w:r>
      <w:r>
        <w:rPr>
          <w:rFonts w:hint="eastAsia" w:ascii="宋体" w:hAnsi="宋体" w:cs="宋体"/>
          <w:bCs/>
          <w:sz w:val="32"/>
          <w:szCs w:val="32"/>
          <w:lang w:val="zh-CN"/>
        </w:rPr>
        <w:t>月</w:t>
      </w:r>
      <w:r>
        <w:rPr>
          <w:rFonts w:hint="eastAsia" w:ascii="宋体" w:hAnsi="宋体" w:cs="宋体"/>
          <w:bCs/>
          <w:sz w:val="32"/>
          <w:szCs w:val="32"/>
          <w:lang w:val="en-US" w:eastAsia="zh-CN"/>
        </w:rPr>
        <w:t xml:space="preserve">   </w:t>
      </w:r>
      <w:r>
        <w:rPr>
          <w:rFonts w:hint="eastAsia" w:ascii="宋体" w:hAnsi="宋体" w:cs="宋体"/>
          <w:bCs/>
          <w:sz w:val="32"/>
          <w:szCs w:val="32"/>
          <w:lang w:val="zh-CN"/>
        </w:rPr>
        <w:t>日</w:t>
      </w:r>
    </w:p>
    <w:p>
      <w:pPr>
        <w:spacing w:line="360" w:lineRule="auto"/>
        <w:rPr>
          <w:rFonts w:ascii="宋体" w:hAnsi="宋体" w:cs="黑体"/>
          <w:sz w:val="30"/>
          <w:szCs w:val="30"/>
        </w:rPr>
      </w:pPr>
    </w:p>
    <w:p>
      <w:pPr>
        <w:spacing w:line="360" w:lineRule="auto"/>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autoSpaceDE w:val="0"/>
        <w:autoSpaceDN w:val="0"/>
        <w:adjustRightInd w:val="0"/>
        <w:snapToGrid w:val="0"/>
        <w:spacing w:before="78" w:beforeLines="25" w:after="78" w:afterLines="25" w:line="40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一、项目概况</w:t>
      </w:r>
    </w:p>
    <w:p>
      <w:pPr>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bCs/>
          <w:sz w:val="24"/>
          <w:szCs w:val="24"/>
        </w:rPr>
        <w:t>百色百矿发电有限公司2023年#2机组C修#2锅炉返料器金属膨胀节更换项目</w:t>
      </w:r>
    </w:p>
    <w:p>
      <w:pPr>
        <w:suppressAutoHyphens/>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项目地点：百矿发电厂#2锅炉区域</w:t>
      </w:r>
    </w:p>
    <w:p>
      <w:pPr>
        <w:numPr>
          <w:ilvl w:val="255"/>
          <w:numId w:val="0"/>
        </w:numPr>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r>
        <w:rPr>
          <w:rFonts w:hint="eastAsia" w:ascii="宋体" w:hAnsi="宋体" w:eastAsia="宋体" w:cs="宋体"/>
          <w:sz w:val="24"/>
          <w:szCs w:val="24"/>
        </w:rPr>
        <w:t>更换#2锅炉返料器斜腿段烧红拉裂漏灰的6套金属膨胀节和碳化钢板。</w:t>
      </w:r>
    </w:p>
    <w:p>
      <w:pPr>
        <w:suppressAutoHyphens/>
        <w:autoSpaceDE w:val="0"/>
        <w:autoSpaceDN w:val="0"/>
        <w:spacing w:line="40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二、项目承包范围及方式</w:t>
      </w:r>
    </w:p>
    <w:p>
      <w:pPr>
        <w:numPr>
          <w:ilvl w:val="255"/>
          <w:numId w:val="0"/>
        </w:numPr>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1、乙方负责百色百矿发电有限公司</w:t>
      </w:r>
      <w:r>
        <w:rPr>
          <w:rFonts w:hint="eastAsia" w:ascii="宋体" w:hAnsi="宋体" w:eastAsia="宋体" w:cs="宋体"/>
          <w:sz w:val="24"/>
          <w:szCs w:val="24"/>
        </w:rPr>
        <w:t>#2锅炉返料器斜腿段烧红拉裂漏灰的6套金属膨胀节和碳化钢板的更换；碳化钢板指与金属膨胀节连接的圆柱形料腿，因内部浇注料脱落烧红导致碳化的部位；还包括了因金属膨胀节拉裂漏灰、料腿烧红后在外部做的密封箱子和填充浇筑料的拆除，以及</w:t>
      </w:r>
      <w:r>
        <w:rPr>
          <w:rFonts w:hint="eastAsia" w:ascii="宋体" w:hAnsi="宋体" w:eastAsia="宋体" w:cs="宋体"/>
          <w:bCs/>
          <w:sz w:val="24"/>
          <w:szCs w:val="24"/>
        </w:rPr>
        <w:t>影响施工附件的拆除和恢复。</w:t>
      </w:r>
    </w:p>
    <w:tbl>
      <w:tblPr>
        <w:tblStyle w:val="19"/>
        <w:tblW w:w="934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0"/>
        <w:gridCol w:w="2100"/>
        <w:gridCol w:w="958"/>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56" w:type="dxa"/>
            <w:vAlign w:val="center"/>
          </w:tcPr>
          <w:p>
            <w:pPr>
              <w:autoSpaceDE w:val="0"/>
              <w:autoSpaceDN w:val="0"/>
              <w:adjustRightInd w:val="0"/>
              <w:snapToGrid w:val="0"/>
              <w:spacing w:before="78" w:beforeLines="25" w:after="78" w:afterLines="25" w:line="400" w:lineRule="exac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90" w:type="dxa"/>
            <w:vAlign w:val="center"/>
          </w:tcPr>
          <w:p>
            <w:pPr>
              <w:autoSpaceDE w:val="0"/>
              <w:autoSpaceDN w:val="0"/>
              <w:adjustRightInd w:val="0"/>
              <w:snapToGrid w:val="0"/>
              <w:spacing w:before="78" w:beforeLines="25" w:after="78" w:afterLines="25" w:line="400" w:lineRule="exact"/>
              <w:rPr>
                <w:rFonts w:hint="eastAsia" w:ascii="宋体" w:hAnsi="宋体" w:eastAsia="宋体" w:cs="宋体"/>
                <w:kern w:val="0"/>
                <w:sz w:val="24"/>
                <w:szCs w:val="24"/>
              </w:rPr>
            </w:pPr>
            <w:r>
              <w:rPr>
                <w:rFonts w:hint="eastAsia" w:ascii="宋体" w:hAnsi="宋体" w:eastAsia="宋体" w:cs="宋体"/>
                <w:kern w:val="0"/>
                <w:sz w:val="24"/>
                <w:szCs w:val="24"/>
              </w:rPr>
              <w:t>材料名称</w:t>
            </w:r>
          </w:p>
        </w:tc>
        <w:tc>
          <w:tcPr>
            <w:tcW w:w="2100" w:type="dxa"/>
            <w:vAlign w:val="center"/>
          </w:tcPr>
          <w:p>
            <w:pPr>
              <w:autoSpaceDE w:val="0"/>
              <w:autoSpaceDN w:val="0"/>
              <w:adjustRightInd w:val="0"/>
              <w:snapToGrid w:val="0"/>
              <w:spacing w:before="78" w:beforeLines="25" w:after="78" w:afterLines="25"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规格/材质</w:t>
            </w:r>
          </w:p>
        </w:tc>
        <w:tc>
          <w:tcPr>
            <w:tcW w:w="958" w:type="dxa"/>
            <w:vAlign w:val="center"/>
          </w:tcPr>
          <w:p>
            <w:pPr>
              <w:autoSpaceDE w:val="0"/>
              <w:autoSpaceDN w:val="0"/>
              <w:adjustRightInd w:val="0"/>
              <w:snapToGrid w:val="0"/>
              <w:spacing w:before="78" w:beforeLines="25" w:after="78" w:afterLines="25" w:line="400" w:lineRule="exac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4136" w:type="dxa"/>
            <w:vAlign w:val="center"/>
          </w:tcPr>
          <w:p>
            <w:pPr>
              <w:autoSpaceDE w:val="0"/>
              <w:autoSpaceDN w:val="0"/>
              <w:adjustRightInd w:val="0"/>
              <w:snapToGrid w:val="0"/>
              <w:spacing w:before="78" w:beforeLines="25" w:after="78" w:afterLines="25"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工作量备注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56" w:type="dxa"/>
            <w:vAlign w:val="center"/>
          </w:tcPr>
          <w:p>
            <w:pPr>
              <w:autoSpaceDE w:val="0"/>
              <w:autoSpaceDN w:val="0"/>
              <w:adjustRightInd w:val="0"/>
              <w:snapToGrid w:val="0"/>
              <w:spacing w:before="78" w:beforeLines="25" w:after="78" w:afterLines="25" w:line="400" w:lineRule="exact"/>
              <w:ind w:firstLine="264"/>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90" w:type="dxa"/>
            <w:vAlign w:val="center"/>
          </w:tcPr>
          <w:p>
            <w:pPr>
              <w:numPr>
                <w:ilvl w:val="255"/>
                <w:numId w:val="0"/>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#2锅炉返料器金属膨胀节</w:t>
            </w:r>
          </w:p>
        </w:tc>
        <w:tc>
          <w:tcPr>
            <w:tcW w:w="2100" w:type="dxa"/>
            <w:vAlign w:val="center"/>
          </w:tcPr>
          <w:p>
            <w:pPr>
              <w:numPr>
                <w:ilvl w:val="255"/>
                <w:numId w:val="0"/>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尺寸：2490*1620*14  双层6波波纹管：厚度2 0Cr25NI20  6+6中间接管 上下封面环板 波高80mm 波距80mm 轴向补偿量+350mm 径向补偿量±100mm</w:t>
            </w:r>
          </w:p>
        </w:tc>
        <w:tc>
          <w:tcPr>
            <w:tcW w:w="958" w:type="dxa"/>
            <w:vAlign w:val="center"/>
          </w:tcPr>
          <w:p>
            <w:pPr>
              <w:numPr>
                <w:ilvl w:val="255"/>
                <w:numId w:val="0"/>
              </w:numPr>
              <w:spacing w:line="40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6套</w:t>
            </w:r>
          </w:p>
        </w:tc>
        <w:tc>
          <w:tcPr>
            <w:tcW w:w="4136" w:type="dxa"/>
            <w:vAlign w:val="center"/>
          </w:tcPr>
          <w:p>
            <w:pPr>
              <w:numPr>
                <w:ilvl w:val="255"/>
                <w:numId w:val="0"/>
              </w:numPr>
              <w:spacing w:line="400" w:lineRule="exac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更换返料器斜腿段拉裂漏灰的6套金属膨胀节和碳化钢板，包括外部密封箱子和填充浇筑的拆除。（不包括料腿和金属膨胀节内部的浇筑料的拆除和恢复）</w:t>
            </w:r>
          </w:p>
        </w:tc>
      </w:tr>
    </w:tbl>
    <w:p>
      <w:pPr>
        <w:pStyle w:val="2"/>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2、承包要求：不得转包第三方或擅自分包。</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3、乙方负责把施工所需的材料运至施工现场，包括运输和吊装。</w:t>
      </w:r>
    </w:p>
    <w:p>
      <w:pPr>
        <w:adjustRightInd w:val="0"/>
        <w:snapToGrid w:val="0"/>
        <w:spacing w:before="78" w:beforeLines="25" w:after="78" w:afterLines="25"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4、乙方负责把拆除的旧料运至甲方指定地点存放，包括运输和吊装。</w:t>
      </w:r>
    </w:p>
    <w:p>
      <w:pPr>
        <w:adjustRightInd w:val="0"/>
        <w:snapToGrid w:val="0"/>
        <w:spacing w:before="78" w:beforeLines="25" w:after="78" w:afterLines="25"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5、施工所需的脚手架搭设与拆除、内部浇筑的拆除和恢复，由甲方负责。</w:t>
      </w:r>
    </w:p>
    <w:p>
      <w:pPr>
        <w:adjustRightInd w:val="0"/>
        <w:snapToGrid w:val="0"/>
        <w:spacing w:before="78" w:beforeLines="25" w:after="78" w:afterLines="25"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6、本工程以全包的施工方式进行（甲方仅提供施工电源、压缩空气气源和水源），已明确由甲方负责提供的主材除外。                                     </w:t>
      </w:r>
    </w:p>
    <w:p>
      <w:pPr>
        <w:adjustRightInd w:val="0"/>
        <w:snapToGrid w:val="0"/>
        <w:spacing w:before="78" w:beforeLines="25" w:after="78" w:afterLines="25" w:line="40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三、工期</w:t>
      </w:r>
    </w:p>
    <w:p>
      <w:pPr>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1、计划开工日期：具体开工日期待定。</w:t>
      </w:r>
    </w:p>
    <w:p>
      <w:pPr>
        <w:spacing w:line="40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2、合同工期：施工日历天数18天。</w:t>
      </w:r>
    </w:p>
    <w:p>
      <w:pPr>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3、甲方在开工前5天通知乙方，若开工日期有变化将提前2天通知乙方。</w:t>
      </w:r>
    </w:p>
    <w:p>
      <w:pPr>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4、工期顺延：如发生以下情况造成竣工日期推迟，乙方须及时以书面报告形式将实际情况上报甲方，经甲方书面盖章确认后，工期相应顺延，（除以下原因外，工期一律不予顺延）：</w:t>
      </w:r>
    </w:p>
    <w:p>
      <w:pPr>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重大变更影响乙方连续施工的。</w:t>
      </w:r>
    </w:p>
    <w:p>
      <w:pPr>
        <w:autoSpaceDE w:val="0"/>
        <w:autoSpaceDN w:val="0"/>
        <w:spacing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5、乙方必须全力组织人员和物资，提前1天进场办理相关开工手续，做好开工准备。</w:t>
      </w:r>
    </w:p>
    <w:p>
      <w:pPr>
        <w:autoSpaceDE w:val="0"/>
        <w:autoSpaceDN w:val="0"/>
        <w:adjustRightInd w:val="0"/>
        <w:snapToGrid w:val="0"/>
        <w:spacing w:before="78" w:beforeLines="25" w:after="78" w:afterLines="25" w:line="40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四、质量标准</w:t>
      </w:r>
    </w:p>
    <w:p>
      <w:pPr>
        <w:autoSpaceDE w:val="0"/>
        <w:autoSpaceDN w:val="0"/>
        <w:adjustRightInd w:val="0"/>
        <w:snapToGrid w:val="0"/>
        <w:spacing w:before="78" w:beforeLines="25" w:after="78" w:afterLines="25" w:line="400" w:lineRule="exact"/>
        <w:ind w:firstLine="480" w:firstLineChars="200"/>
        <w:jc w:val="left"/>
        <w:rPr>
          <w:rFonts w:hint="eastAsia" w:ascii="宋体" w:hAnsi="宋体" w:eastAsia="宋体" w:cs="宋体"/>
          <w:bCs/>
          <w:color w:val="00B0F0"/>
          <w:sz w:val="24"/>
          <w:szCs w:val="24"/>
        </w:rPr>
      </w:pPr>
      <w:r>
        <w:rPr>
          <w:rFonts w:hint="eastAsia" w:ascii="宋体" w:hAnsi="宋体" w:eastAsia="宋体" w:cs="宋体"/>
          <w:bCs/>
          <w:sz w:val="24"/>
          <w:szCs w:val="24"/>
          <w:lang w:bidi="ar"/>
        </w:rPr>
        <w:t>1、执行标准规范（包括但不限于）</w:t>
      </w:r>
    </w:p>
    <w:p>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《建筑施工起重吊装工程安全技术规范》JGJ276-2012</w:t>
      </w:r>
    </w:p>
    <w:p>
      <w:pPr>
        <w:tabs>
          <w:tab w:val="left" w:pos="480"/>
          <w:tab w:val="left" w:pos="8280"/>
        </w:tabs>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《火力发电厂焊接技术规程》DLT  869-2012</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《电力建设施工及验收技术规范》（锅炉机组篇）DL/T5047-95</w:t>
      </w:r>
    </w:p>
    <w:p>
      <w:pPr>
        <w:tabs>
          <w:tab w:val="left" w:pos="480"/>
          <w:tab w:val="left" w:pos="8280"/>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《电力建设施工及验收技术规范》（焊接篇）DL/T5007-92</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《火力发电厂金属技术监督规程》DLT  438-2016</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《火力发电厂焊接热处理技术规程》DLT  819-2019</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《金属波纹膨胀节通用技术条件》GB/T12777-2019</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《金属波纹管膨胀节选用、安装、使用维护规范》GB/T35979-2018</w:t>
      </w:r>
    </w:p>
    <w:p>
      <w:pPr>
        <w:spacing w:line="4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国家电力行业标准《电力建设安全工作规程（火力发电厂部分）》</w:t>
      </w:r>
    </w:p>
    <w:p>
      <w:pPr>
        <w:pStyle w:val="2"/>
        <w:ind w:firstLine="480" w:firstLineChars="200"/>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《百色百矿发电有限公司锅炉检修规程》、《百色百矿发电有限公司锅炉运行规程》</w:t>
      </w:r>
    </w:p>
    <w:p>
      <w:pPr>
        <w:autoSpaceDE w:val="0"/>
        <w:autoSpaceDN w:val="0"/>
        <w:adjustRightInd w:val="0"/>
        <w:snapToGrid w:val="0"/>
        <w:spacing w:before="78" w:beforeLines="25" w:after="78" w:afterLines="25"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2、工程质量</w:t>
      </w:r>
    </w:p>
    <w:p>
      <w:pPr>
        <w:autoSpaceDE w:val="0"/>
        <w:autoSpaceDN w:val="0"/>
        <w:adjustRightInd w:val="0"/>
        <w:snapToGrid w:val="0"/>
        <w:spacing w:before="78" w:beforeLines="25" w:after="78" w:afterLines="25"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78" w:beforeLines="25" w:after="78" w:afterLines="25" w:line="4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（2）双方对工程质量有争议，由双方同意的工程质量检测机构鉴定，所需费用及因此造成的损失，由责任方承担。双方均有责任，由双方根据其责任分别承担。</w:t>
      </w:r>
    </w:p>
    <w:p>
      <w:pPr>
        <w:adjustRightInd w:val="0"/>
        <w:snapToGrid w:val="0"/>
        <w:spacing w:before="78" w:beforeLines="25" w:after="78" w:afterLines="25" w:line="400" w:lineRule="exact"/>
        <w:rPr>
          <w:rFonts w:hint="eastAsia" w:ascii="宋体" w:hAnsi="宋体" w:eastAsia="宋体" w:cs="宋体"/>
          <w:b/>
          <w:bCs/>
          <w:sz w:val="24"/>
          <w:szCs w:val="24"/>
        </w:rPr>
      </w:pPr>
      <w:r>
        <w:rPr>
          <w:rFonts w:hint="eastAsia" w:ascii="宋体" w:hAnsi="宋体" w:eastAsia="宋体" w:cs="宋体"/>
          <w:b/>
          <w:bCs/>
          <w:sz w:val="24"/>
          <w:szCs w:val="24"/>
        </w:rPr>
        <w:t>五、检查和验收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1、乙方应认真按照标准、规范和设计图纸要求以及合同要求施工，随时接受甲方的检查检验，为检查检验提供便利条件。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2、工程质量达不到约定标准的部分，甲方要求乙方拆除和重新施工，乙方应按甲方的要求拆除和重新施工，直到符合约定标准。因乙方原因达不到约定标准，由乙方承担拆除和重新施工的费用，工期不予顺延。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3、甲方的检查检验不应影响施工正常进行。如影响施工正常进行，检查检验不合格时，影响正常施工的工期不予顺延。检查检验合格，则相应顺延工期。</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4、因甲方指令失误原因发生的追加合同价款，由甲方承担。</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5、隐蔽工程和中间验收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具备隐蔽条件或约定的中间验收部位，乙方进行自检，并在隐蔽或中间验收前48小时以书面形式通知甲方验收。通知包括隐蔽和中间验收的内容、验收时间和地点。乙方准备验收记录，验收合格，甲方在验收记录上签字后，乙方可进行隐蔽和继续施工。验收不合格，乙方在甲方限定的时间内修改后重新验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（2）经甲方验收，工程质量符合标准、规范和设计图纸等要求，验收24小时后，甲方不在验收记录上签字，视为甲方已经认可验收记录，乙方可进行隐蔽或继续施工。</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6、重新检验</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论甲方是否进行验收，当甲方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78" w:beforeLines="25" w:after="78" w:afterLines="25" w:line="400" w:lineRule="exact"/>
        <w:rPr>
          <w:rFonts w:hint="eastAsia" w:ascii="宋体" w:hAnsi="宋体" w:eastAsia="宋体" w:cs="宋体"/>
          <w:b/>
          <w:bCs/>
          <w:sz w:val="24"/>
          <w:szCs w:val="24"/>
        </w:rPr>
      </w:pPr>
      <w:r>
        <w:rPr>
          <w:rFonts w:hint="eastAsia" w:ascii="宋体" w:hAnsi="宋体" w:eastAsia="宋体" w:cs="宋体"/>
          <w:b/>
          <w:bCs/>
          <w:sz w:val="24"/>
          <w:szCs w:val="24"/>
        </w:rPr>
        <w:t>六、材料设备供应</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1、甲方供应的设备</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本工程项目中甲方只负责</w:t>
      </w:r>
      <w:r>
        <w:rPr>
          <w:rFonts w:hint="eastAsia" w:ascii="宋体" w:hAnsi="宋体" w:eastAsia="宋体" w:cs="宋体"/>
          <w:sz w:val="24"/>
          <w:szCs w:val="24"/>
        </w:rPr>
        <w:t>返料器金属膨胀节和料腿圆柱形钢板的</w:t>
      </w:r>
      <w:r>
        <w:rPr>
          <w:rFonts w:hint="eastAsia" w:ascii="宋体" w:hAnsi="宋体" w:eastAsia="宋体" w:cs="宋体"/>
          <w:bCs/>
          <w:sz w:val="24"/>
          <w:szCs w:val="24"/>
        </w:rPr>
        <w:t>采购</w:t>
      </w:r>
      <w:r>
        <w:rPr>
          <w:rFonts w:hint="eastAsia" w:ascii="宋体" w:hAnsi="宋体" w:eastAsia="宋体" w:cs="宋体"/>
          <w:color w:val="000000" w:themeColor="text1"/>
          <w:sz w:val="24"/>
          <w:szCs w:val="24"/>
          <w14:textFill>
            <w14:solidFill>
              <w14:schemeClr w14:val="tx1"/>
            </w14:solidFill>
          </w14:textFill>
        </w:rPr>
        <w:t>并对其型号、规格负责。</w:t>
      </w:r>
    </w:p>
    <w:tbl>
      <w:tblPr>
        <w:tblStyle w:val="18"/>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39"/>
        <w:gridCol w:w="3500"/>
        <w:gridCol w:w="1012"/>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39"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3500"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012"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249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39" w:type="dxa"/>
            <w:vAlign w:val="center"/>
          </w:tcPr>
          <w:p>
            <w:pPr>
              <w:numPr>
                <w:ilvl w:val="255"/>
                <w:numId w:val="0"/>
              </w:numPr>
              <w:spacing w:line="400" w:lineRule="exact"/>
              <w:jc w:val="center"/>
              <w:rPr>
                <w:rFonts w:hint="eastAsia" w:ascii="宋体" w:hAnsi="宋体" w:eastAsia="宋体" w:cs="宋体"/>
                <w:sz w:val="24"/>
                <w:szCs w:val="24"/>
              </w:rPr>
            </w:pPr>
            <w:r>
              <w:rPr>
                <w:rFonts w:hint="eastAsia" w:ascii="宋体" w:hAnsi="宋体" w:eastAsia="宋体" w:cs="宋体"/>
                <w:kern w:val="0"/>
                <w:sz w:val="24"/>
                <w:szCs w:val="24"/>
              </w:rPr>
              <w:t>#2锅炉返料器金属膨胀节</w:t>
            </w:r>
          </w:p>
        </w:tc>
        <w:tc>
          <w:tcPr>
            <w:tcW w:w="3500" w:type="dxa"/>
            <w:vAlign w:val="center"/>
          </w:tcPr>
          <w:p>
            <w:pPr>
              <w:numPr>
                <w:ilvl w:val="255"/>
                <w:numId w:val="0"/>
              </w:num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尺寸：2490*1620*14  双层6波波纹管：厚度2 0Cr25NI20  6+6中间接管 上下封面环板 波高80mm 波距80mm 轴向补偿量+350mm 径向补偿量±100mm</w:t>
            </w:r>
          </w:p>
        </w:tc>
        <w:tc>
          <w:tcPr>
            <w:tcW w:w="1012" w:type="dxa"/>
            <w:vAlign w:val="center"/>
          </w:tcPr>
          <w:p>
            <w:pPr>
              <w:numPr>
                <w:ilvl w:val="255"/>
                <w:numId w:val="0"/>
              </w:numPr>
              <w:spacing w:line="400" w:lineRule="exact"/>
              <w:jc w:val="center"/>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6套</w:t>
            </w:r>
          </w:p>
        </w:tc>
        <w:tc>
          <w:tcPr>
            <w:tcW w:w="2498"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料腿圆柱形钢板（低碳钢、厚度10mm）</w:t>
            </w:r>
          </w:p>
        </w:tc>
      </w:tr>
    </w:tbl>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2、乙方供应的材料设备</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（1）本项目工程施工中所需的工具器、耗材均需由乙方供应或采购。</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（2）乙方供应或采购的材料设备，应符合有关标准要求，并提供产品合格证明，对材料设备的性能及质量负责。</w:t>
      </w:r>
    </w:p>
    <w:p>
      <w:pPr>
        <w:spacing w:line="400" w:lineRule="exact"/>
        <w:ind w:firstLine="480" w:firstLineChars="200"/>
        <w:rPr>
          <w:rFonts w:hint="eastAsia" w:ascii="宋体" w:hAnsi="宋体" w:eastAsia="宋体" w:cs="宋体"/>
          <w:color w:val="00B0F0"/>
          <w:sz w:val="24"/>
          <w:szCs w:val="24"/>
        </w:rPr>
      </w:pPr>
      <w:r>
        <w:rPr>
          <w:rFonts w:hint="eastAsia" w:ascii="宋体" w:hAnsi="宋体" w:eastAsia="宋体" w:cs="宋体"/>
          <w:color w:val="000000" w:themeColor="text1"/>
          <w:sz w:val="24"/>
          <w:szCs w:val="24"/>
          <w14:textFill>
            <w14:solidFill>
              <w14:schemeClr w14:val="tx1"/>
            </w14:solidFill>
          </w14:textFill>
        </w:rPr>
        <w:t>（3）乙方供应或采购的材料设备与要求不符时，乙方应重新供应或采购符合要求的产品，承担由此发生的费用，由此延误的工期不予顺延。</w:t>
      </w:r>
    </w:p>
    <w:p>
      <w:pPr>
        <w:snapToGrid w:val="0"/>
        <w:spacing w:before="78" w:beforeLines="25" w:after="78" w:afterLines="25"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七、主要施工工艺、技术要求</w:t>
      </w:r>
    </w:p>
    <w:p>
      <w:pPr>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1.#2锅炉返料器金属膨胀节更换</w:t>
      </w:r>
      <w:r>
        <w:rPr>
          <w:rFonts w:hint="eastAsia" w:ascii="宋体" w:hAnsi="宋体" w:eastAsia="宋体" w:cs="宋体"/>
          <w:bCs/>
          <w:color w:val="000000"/>
          <w:sz w:val="24"/>
          <w:szCs w:val="24"/>
        </w:rPr>
        <w:t>项目主要施工流程：</w:t>
      </w:r>
    </w:p>
    <w:p>
      <w:pP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旧设备拆除并运送到指定地点→把新设备从仓库运至施工现场→设备安装前的检查及波纹管内部异物清理→浇注料的敷设和保养→新设备吊装和焊接。                                                                            </w:t>
      </w:r>
      <w:r>
        <w:rPr>
          <w:rFonts w:hint="eastAsia" w:ascii="宋体" w:hAnsi="宋体" w:eastAsia="宋体" w:cs="宋体"/>
          <w:bCs/>
          <w:color w:val="000000" w:themeColor="text1"/>
          <w:sz w:val="24"/>
          <w:szCs w:val="24"/>
          <w:vertAlign w:val="superscript"/>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vertAlign w:val="superscript"/>
          <w14:textFill>
            <w14:solidFill>
              <w14:schemeClr w14:val="tx1"/>
            </w14:solidFill>
          </w14:textFill>
        </w:rPr>
        <w:t xml:space="preserve">                </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2.技术要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（1）为保证膨胀节与料腿对接焊缝的焊接质量，膨胀节安装之前应先完成碳化钢板的更换。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膨胀节安装前应仔细阅读随产品配备的产品安装指南及产品安装补充规定等文件并制定安装步骤和计划，安装人员应明了这些步骤及制造厂所作的特殊说明，并确认膨胀节完好无损后方可进行安装；清除波纹管及管道内异物，保证波纹管正常运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（3）安装过程中应小心保护波纹管等薄壁部分免受因敲击、碰撞、划伤、引弧和焊接飞溅等原因而造成的损害。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（4）膨胀节的所有活动元件不得被外部构件卡死或限制其活动部位正常动作。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（5）应注意按介质流向箭头正确安装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（6）不应让吊具或任何提升装置直接作用在波纹管上。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（7）安装完毕之前，不应拆除膨胀节上的运输固定装置。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（8）为了使波纹管处于良好的工作状态，安装时不能用膨胀节的变形调正管系位置安装误差（包括轴向，横向、扭转等变形等)。</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（9）安装完毕按设计的要求将限位装置调到规定的位置，使管系在工作环境下有充分的补偿能力。</w:t>
      </w:r>
    </w:p>
    <w:p>
      <w:pPr>
        <w:spacing w:line="400" w:lineRule="exact"/>
        <w:jc w:val="left"/>
        <w:rPr>
          <w:rFonts w:hint="eastAsia" w:ascii="宋体" w:hAnsi="宋体" w:eastAsia="宋体" w:cs="宋体"/>
          <w:sz w:val="24"/>
          <w:szCs w:val="24"/>
        </w:rPr>
      </w:pPr>
      <w:r>
        <w:rPr>
          <w:rFonts w:hint="eastAsia" w:ascii="宋体" w:hAnsi="宋体" w:eastAsia="宋体" w:cs="宋体"/>
          <w:color w:val="000000"/>
          <w:sz w:val="24"/>
          <w:szCs w:val="24"/>
        </w:rPr>
        <w:t xml:space="preserve">    （11）安装完毕后，不得有开裂、沙眼漏风。</w:t>
      </w:r>
    </w:p>
    <w:p>
      <w:pPr>
        <w:adjustRightInd w:val="0"/>
        <w:snapToGrid w:val="0"/>
        <w:spacing w:before="78" w:beforeLines="25" w:after="78" w:afterLines="25" w:line="400" w:lineRule="exact"/>
        <w:rPr>
          <w:rFonts w:hint="eastAsia" w:ascii="宋体" w:hAnsi="宋体" w:eastAsia="宋体" w:cs="宋体"/>
          <w:b/>
          <w:bCs/>
          <w:sz w:val="24"/>
          <w:szCs w:val="24"/>
        </w:rPr>
      </w:pPr>
      <w:r>
        <w:rPr>
          <w:rFonts w:hint="eastAsia" w:ascii="宋体" w:hAnsi="宋体" w:eastAsia="宋体" w:cs="宋体"/>
          <w:b/>
          <w:bCs/>
          <w:sz w:val="24"/>
          <w:szCs w:val="24"/>
        </w:rPr>
        <w:t>八、竣工验收</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1、工程具备竣工验收条件，乙方按国家工程竣工验收有关规定，向甲方提供完整竣工资料及竣工验收报告。</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2、工程竣工验收通过，乙方送交竣工验收报告的日期为实际竣工日期。工程按甲方要求修改后通过竣工验收的，实际竣工日期为乙方修改后提请甲方验收的日期。</w:t>
      </w:r>
    </w:p>
    <w:p>
      <w:pPr>
        <w:adjustRightInd w:val="0"/>
        <w:snapToGrid w:val="0"/>
        <w:spacing w:before="78" w:beforeLines="25" w:after="78" w:afterLines="25" w:line="400" w:lineRule="exact"/>
        <w:rPr>
          <w:rFonts w:hint="eastAsia" w:ascii="宋体" w:hAnsi="宋体" w:eastAsia="宋体" w:cs="宋体"/>
          <w:b/>
          <w:bCs/>
          <w:sz w:val="24"/>
          <w:szCs w:val="24"/>
        </w:rPr>
      </w:pPr>
      <w:r>
        <w:rPr>
          <w:rFonts w:hint="eastAsia" w:ascii="宋体" w:hAnsi="宋体" w:eastAsia="宋体" w:cs="宋体"/>
          <w:b/>
          <w:bCs/>
          <w:sz w:val="24"/>
          <w:szCs w:val="24"/>
        </w:rPr>
        <w:t>九、质量保修</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1、质保期：本工程质保期1年，在质保期内如出现焊点脱焊、泄漏等情况，乙方需在24小时内派人到现场处理。</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2、乙方应按法律、行政法规或国家关于工程质量保修的有关规定，对交付甲方使用的工程在质量保修期内承担质量保修责任。</w:t>
      </w:r>
    </w:p>
    <w:p>
      <w:pPr>
        <w:spacing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十、</w:t>
      </w:r>
      <w:r>
        <w:rPr>
          <w:rFonts w:hint="eastAsia" w:ascii="宋体" w:hAnsi="宋体" w:eastAsia="宋体" w:cs="宋体"/>
          <w:b/>
          <w:bCs/>
          <w:sz w:val="24"/>
          <w:szCs w:val="24"/>
        </w:rPr>
        <w:t>施工服务具体要求</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1、乙方需根据工程进度需要，按投标承诺派驻恰当的人员和合适的人员数量，满足现场施工服务的需求；采取措施保证到位率。</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2、乙方必须承担因己方原因导致工期延误而造成的费用增加的风险，甲方不接受因工期延误原因造成的费用增加。</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3、乙方履责期间，应对施工现场实行标准化管理，严防重大质量、安全事故出现；若出现重大安全、质量事故，甲方将约谈法人代表，并按发生损失量的10%扣除履约保证金。</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4、上述条款将作为合同的组成部分，与合同具有同等的法律效力。</w:t>
      </w:r>
    </w:p>
    <w:p>
      <w:pPr>
        <w:adjustRightInd w:val="0"/>
        <w:snapToGrid w:val="0"/>
        <w:spacing w:before="78" w:beforeLines="25" w:after="78" w:afterLines="25"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十一、安全施工</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应根据本工程关于安全文明施工措施的具体要求及措施项目内容，依据现行标准规范，结合工程特点、工程场地、周围环境、工期进度和作业环境要求，在施工组织设计文件中制定相应的安全文明施工的具体措施；所编制的方案及措施应符合国家及当地政主管部门关于安全文明施工措施方面有关文件的规定。</w:t>
      </w:r>
    </w:p>
    <w:p>
      <w:pPr>
        <w:adjustRightInd w:val="0"/>
        <w:snapToGrid w:val="0"/>
        <w:spacing w:before="78" w:beforeLines="25" w:after="78" w:afterLines="25"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2、乙方应严格遵守工程建设安全文明施工的有关规定。认真落实各项安全保护措施，并随时接受甲方的监督检查。</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3、乙方需根据工程进度需要，按投标承诺派驻恰当的人员和合适的人员数量，满足现场施工服务的需求；采取措施保证到位率。</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4、乙方的施工人员应经过必要的安全和环境培训，保证员工上岗前经过三级安全教育，特种工种、特殊工艺人员应持有效证件上岗，</w:t>
      </w:r>
      <w:r>
        <w:rPr>
          <w:rFonts w:hint="eastAsia" w:ascii="宋体" w:hAnsi="宋体" w:eastAsia="宋体" w:cs="宋体"/>
          <w:color w:val="000000"/>
          <w:sz w:val="24"/>
          <w:szCs w:val="24"/>
        </w:rPr>
        <w:t>配备必要的劳动保护用具保证工程的施工安全和人身安全。</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在施工中发生重大人身伤亡事故、设备安全事故时应及时通知甲方，并在国家规定的期限内，将事故调查和处理意见报告甲方，并按程序上报主管部门和地方劳动部门。由乙方原因引起的事故，乙方应承担相应的赔偿责任。</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6、乙方需在现场开吊装口时，需通知甲方，经甲方同意后方可开口，开口处需做好临时防护措施，做好警示标识，开口处施工完后马上进行恢复。</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7、乙方负责因施工必须拆除的设备、管道、栏杆等恢复工作，恢复完毕后按照原标准进行刷漆工作，不得随意刷漆，作业面下方设备应用塑料布等遮盖，防止二次污染和高空坠物。</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乙方施工所需脚手架的搭拆必须经甲方相关部门批准并经验收合格方可使用，不准使用不合格的脚手架。搭设的脚手架必须加隔离垫，不准将架杆直接支在设备、管道上。搭设的脚手架必须留出足够的通道，不准妨碍人员通行。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9、如由于乙方原因和与乙方有关的第三方原因造成事故的责任和由此发生的费用，由乙方承担。</w:t>
      </w:r>
    </w:p>
    <w:p>
      <w:pPr>
        <w:spacing w:line="400" w:lineRule="exact"/>
        <w:outlineLvl w:val="0"/>
        <w:rPr>
          <w:rFonts w:hint="eastAsia" w:ascii="宋体" w:hAnsi="宋体" w:eastAsia="宋体" w:cs="宋体"/>
          <w:b/>
          <w:sz w:val="24"/>
          <w:szCs w:val="24"/>
        </w:rPr>
      </w:pPr>
      <w:r>
        <w:rPr>
          <w:rFonts w:hint="eastAsia" w:ascii="宋体" w:hAnsi="宋体" w:eastAsia="宋体" w:cs="宋体"/>
          <w:b/>
          <w:sz w:val="24"/>
          <w:szCs w:val="24"/>
        </w:rPr>
        <w:t xml:space="preserve">十二、附则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1、本技术协议与主合同均具有同等法律效力，如有冲突的部分，以主合同为准。</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2、本技术协议一式肆份，甲方执叁份，乙方执壹份，自双方签字盖章之日起生效，均具有同等法律效力。</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spacing w:line="360" w:lineRule="auto"/>
        <w:ind w:firstLine="567"/>
        <w:rPr>
          <w:rFonts w:asciiTheme="minorEastAsia" w:hAnsiTheme="minorEastAsia" w:eastAsiaTheme="minorEastAsia"/>
          <w:color w:val="000000" w:themeColor="text1"/>
          <w:sz w:val="24"/>
          <w14:textFill>
            <w14:solidFill>
              <w14:schemeClr w14:val="tx1"/>
            </w14:solidFill>
          </w14:textFill>
        </w:rPr>
      </w:pPr>
    </w:p>
    <w:p>
      <w:pPr>
        <w:spacing w:line="560" w:lineRule="exact"/>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甲方（盖章）：                           乙方（盖章）：</w:t>
      </w:r>
      <w:r>
        <w:rPr>
          <w:rFonts w:hint="eastAsia" w:asciiTheme="minorEastAsia" w:hAnsiTheme="minorEastAsia" w:eastAsiaTheme="minorEastAsia"/>
          <w:bCs/>
          <w:color w:val="000000" w:themeColor="text1"/>
          <w:sz w:val="24"/>
          <w14:textFill>
            <w14:solidFill>
              <w14:schemeClr w14:val="tx1"/>
            </w14:solidFill>
          </w14:textFill>
        </w:rPr>
        <w:t xml:space="preserve"> </w:t>
      </w:r>
    </w:p>
    <w:p>
      <w:pPr>
        <w:spacing w:line="56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                           授权代表签字：</w:t>
      </w:r>
    </w:p>
    <w:p>
      <w:pPr>
        <w:spacing w:line="440" w:lineRule="exact"/>
        <w:ind w:left="6695" w:leftChars="472" w:hanging="5704" w:hangingChars="2377"/>
        <w:rPr>
          <w:rFonts w:asciiTheme="minorEastAsia" w:hAnsiTheme="minorEastAsia" w:eastAsiaTheme="minorEastAsia"/>
          <w:color w:val="000000" w:themeColor="text1"/>
          <w:sz w:val="24"/>
          <w14:textFill>
            <w14:solidFill>
              <w14:schemeClr w14:val="tx1"/>
            </w14:solidFill>
          </w14:textFill>
        </w:rPr>
      </w:pPr>
    </w:p>
    <w:p>
      <w:pPr>
        <w:ind w:left="145" w:leftChars="6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202  </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               日  期：</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202  </w:t>
      </w:r>
      <w:r>
        <w:rPr>
          <w:rFonts w:hint="eastAsia" w:asciiTheme="minorEastAsia" w:hAnsiTheme="minorEastAsia" w:eastAsiaTheme="minorEastAsia"/>
          <w:color w:val="000000" w:themeColor="text1"/>
          <w:sz w:val="24"/>
          <w14:textFill>
            <w14:solidFill>
              <w14:schemeClr w14:val="tx1"/>
            </w14:solidFill>
          </w14:textFill>
        </w:rPr>
        <w:t xml:space="preserve">年 </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w:t>
      </w:r>
    </w:p>
    <w:p>
      <w:pPr>
        <w:spacing w:line="360" w:lineRule="auto"/>
        <w:jc w:val="left"/>
        <w:rPr>
          <w:rFonts w:asciiTheme="minorEastAsia" w:hAnsiTheme="minorEastAsia" w:eastAsiaTheme="minorEastAsia" w:cstheme="minorEastAsia"/>
          <w:sz w:val="24"/>
          <w:szCs w:val="24"/>
        </w:rPr>
      </w:pPr>
    </w:p>
    <w:p>
      <w:pPr>
        <w:spacing w:line="220" w:lineRule="atLeast"/>
        <w:rPr>
          <w:rFonts w:ascii="宋体" w:hAnsi="宋体" w:cs="宋体"/>
          <w:sz w:val="24"/>
          <w:szCs w:val="24"/>
        </w:rPr>
      </w:pPr>
    </w:p>
    <w:p>
      <w:pPr>
        <w:spacing w:line="220" w:lineRule="atLeast"/>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4"/>
        <w:rPr>
          <w:rFonts w:hint="eastAsia"/>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4"/>
        <w:rPr>
          <w:rFonts w:hint="eastAsia" w:ascii="宋体" w:hAnsi="宋体" w:cs="宋体"/>
          <w:sz w:val="24"/>
          <w:szCs w:val="24"/>
          <w:lang w:val="en-US" w:eastAsia="zh-CN"/>
        </w:rPr>
      </w:pPr>
    </w:p>
    <w:p>
      <w:pPr>
        <w:pStyle w:val="4"/>
        <w:rPr>
          <w:rFonts w:hint="eastAsia" w:ascii="宋体" w:hAnsi="宋体" w:cs="宋体"/>
          <w:sz w:val="24"/>
          <w:szCs w:val="24"/>
          <w:lang w:val="en-US" w:eastAsia="zh-CN"/>
        </w:rPr>
      </w:pPr>
    </w:p>
    <w:p>
      <w:pPr>
        <w:pStyle w:val="2"/>
        <w:rPr>
          <w:rFonts w:ascii="宋体" w:hAnsi="宋体" w:cs="宋体"/>
        </w:rPr>
      </w:pP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asciiTheme="minorEastAsia" w:hAnsiTheme="minorEastAsia" w:eastAsiaTheme="minorEastAsia"/>
          <w:sz w:val="24"/>
          <w:szCs w:val="24"/>
        </w:rPr>
        <w:t>2</w:t>
      </w:r>
    </w:p>
    <w:p>
      <w:pPr>
        <w:snapToGrid w:val="0"/>
        <w:jc w:val="center"/>
        <w:rPr>
          <w:rFonts w:ascii="宋体" w:hAnsi="宋体" w:cs="微软雅黑"/>
          <w:b/>
          <w:sz w:val="32"/>
          <w:szCs w:val="20"/>
        </w:rPr>
      </w:pPr>
      <w:r>
        <w:rPr>
          <w:rFonts w:hint="eastAsia" w:ascii="宋体" w:hAnsi="宋体" w:cs="微软雅黑"/>
          <w:b/>
          <w:sz w:val="32"/>
          <w:szCs w:val="20"/>
        </w:rPr>
        <w:t>施工安全环保管理协议</w:t>
      </w:r>
    </w:p>
    <w:p>
      <w:pPr>
        <w:snapToGrid w:val="0"/>
        <w:rPr>
          <w:rFonts w:asciiTheme="minorEastAsia" w:hAnsiTheme="minorEastAsia" w:eastAsiaTheme="minorEastAsia" w:cstheme="minorEastAsia"/>
          <w:sz w:val="24"/>
          <w:szCs w:val="20"/>
        </w:rPr>
      </w:pP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项目单位（以下简称甲方）：</w:t>
      </w:r>
      <w:r>
        <w:rPr>
          <w:rFonts w:hint="eastAsia" w:asciiTheme="minorEastAsia" w:hAnsiTheme="minorEastAsia" w:eastAsiaTheme="minorEastAsia" w:cstheme="minorEastAsia"/>
          <w:sz w:val="24"/>
          <w:szCs w:val="24"/>
          <w:lang w:val="en-US" w:eastAsia="zh-CN"/>
        </w:rPr>
        <w:t>百色百矿</w:t>
      </w:r>
      <w:r>
        <w:rPr>
          <w:rFonts w:hint="eastAsia" w:asciiTheme="minorEastAsia" w:hAnsiTheme="minorEastAsia" w:eastAsiaTheme="minorEastAsia" w:cstheme="minorEastAsia"/>
          <w:sz w:val="24"/>
          <w:szCs w:val="24"/>
        </w:rPr>
        <w:t xml:space="preserve">发电有限公司 </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施工单位（以下简称乙方）： </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 项目名称：</w:t>
      </w:r>
      <w:r>
        <w:rPr>
          <w:rFonts w:hint="eastAsia" w:ascii="宋体" w:hAnsi="宋体" w:eastAsia="宋体" w:cs="宋体"/>
          <w:bCs/>
          <w:sz w:val="24"/>
          <w:szCs w:val="24"/>
        </w:rPr>
        <w:t>百色百矿发电有限公司2023年#2机组C修#2锅炉返料器金属膨胀节更换项目</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甲方权利和义务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2.1甲方负责对乙方作业场所安全生产、环保、消防、保卫等工作的统一监管与协调，有义务向乙方告知公司安全生产工作要求。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2.2甲方有权对乙方作业现场进行安全、环保检查，对发现的不安全因素要求乙方进行限期或停工整改。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2.3甲方有权依照《相关方管理考核标准》和其他管理制度对乙方未限期整改和违规违章行为进行考核及经济处罚。</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2.4发生以下情况或乙方责任造成的停工整顿，因停工造成的违约责任由乙方全部承担。</w:t>
      </w:r>
    </w:p>
    <w:p>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发生人身伤亡事故；</w:t>
      </w:r>
    </w:p>
    <w:p>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发生施工机械、生产主设备严重损坏事故；</w:t>
      </w:r>
    </w:p>
    <w:p>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施工现场发生火灾事故；</w:t>
      </w:r>
    </w:p>
    <w:p>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发生违章作业、冒险作业不听劝告的；</w:t>
      </w:r>
    </w:p>
    <w:p>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施工现场脏、乱、差，不符合安全和文明施工要求的。</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2.5乙方在协议期间如发生事故，甲方有权督促乙方立即报告当地政府相关部门，要求派人保护现场，并有权要求乙方提供事故调查书面结论及处理意见。</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乙方权利和义务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3.1遵守国家《安全生产法》、《环境保护法》及其配套法规和甲方公司《浙江吉利控股集团安全生产管理办法》、危险作业管理标准等各级各项安全环保规章制度。</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3.2建立健全并落实安全环保管理制度和安全操作规程。HSE应急预案有针对性，应急装备齐全。对承包项目的质量、安全（包括施工作业、消防、环保、职业健康、交通、保卫等）承担相应责任。</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HSE组织机构健全。依法配备安全员。安全员、特种作业人员持证上岗。</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3.4依法为从业人员缴纳工伤保险。</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3.5对接触职业危害的相关方从业人员，应安排岗前、岗中和离岗时的职业健康体检，并将检查结果如实告知从业人员。</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3.6为作业人员配备合格适用的劳动防护用品并督促其正确使用。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3.7不得安排有职业禁忌或职业病人员从事其所禁忌的作业。不得安排未成年工从事接触职业病危害的作业；不得安排孕期、哺乳期的女职工从事对本人和胎儿、婴儿有危害的作业。</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3.8不得擅自将承包项目分包或转包他人，更不得将承包项目分包或转包不具备安全生产条件的单位和个人，一经发现甲方有权令其停工整顿或解除合同。</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3.9所用的机械、电器设备和线路必须符合有关安全技术规定要求，危险部位必须有安全可靠的防护装置。对于安全设施设备、特种设备依照法律法规和公司要求执行检查、维保等工作。</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3.10物品放置、设备布置和各类临时设施均应符合安全、消防要求。不得占用消防安全通道，不得影响安全设备设施的正常使用。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3.11从事各种活动时，应遵守企业安全生产要求，制订可靠的安全防范措施。不得违章指挥、违章作业、违反劳动纪律。</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3.12作业前对作业人员进行HSE教育和安全技术交底。经常组织安全学习活动，进行必要的安全检查，积极配合公司组织的安全环保检查和应急演练等主题活动。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3.13乙方出入甲方区域，必须遵守甲方的门卫管理制度，不得拒绝甲方检查。进入甲方生产现场后，必须遵守甲方生产现场的安全环保要求。乙方不得在甲方区域内发生群体性事件。</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3.14乙方车辆出入，应遵守甲方车辆管理有关规定，防止交通事故发生，原、辅材料（包括垃圾）运输应符合有关规定，不得拒绝正常检查。</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3.15乙方人员未经甲方同意不得开动、使用甲方的任何设备设施、工器具，不得进</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入甲方各特殊危险场所及要害部门，否则因此给甲方造成的损失由乙方承担。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3.16如因工作需要，乙方借用甲方设备设施时必须遵守甲方的相关规定及操作规程。如因乙方原因造成设备设施损坏或人员伤害，由乙方承担因此造成的损失。</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3.17乙方对高空作业及生产作业现场的坑、沟、洞、易燃易爆场所，要有防范措施及明显标志。在进行有毒物、有机溶剂、粉尘、噪音等有害作业时，必须事前告之双方人员并制定安全施工计划。</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3.18当发生两个及以上单位进行交叉作业时，乙方应首先与发生交叉作业的单位进行协商，保证安全作业。若协商不成，乙方应及时报知甲方，甲方负责统一协调、管理。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3.19依照法规和公司要求处置固废、危险废弃物，不得出现污染大气环境、水体状况。</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3.20发生不安全情况或人身伤亡事故，必须立即报告甲方的相关方主管部门和安全环保部门。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3.21在施工组织设计中编制安全技术措施和现场临时用电方案，依照法规应编制专项施工方案和要求进行专家评审的，应依照法规执行。</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3.22施工方必须告知施工主管部门后方可开展施工业务，并由施工主管部门规定其工作区域。未经许可不得进入与工作无关区域。</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3.23落实防止伤害事故、环境污染事故的具体措施。有可能影响其他部门或人员作息或安全时应提前告知。</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3.25施工方在施工过程中不得擅自更换工程技术管理人员、项目负责人、安全管理人员以及关系到施工安全及质量的特种作业人员。需要换人时须征得施工主管部门和安全环保部门同意，并进行安全教育。</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3.26施工方如遇安全状况不清时，应先停止工作，主动与施工主管部门联系。交叉施工作业时，施工主管部门联系相关单位进行协调安排。施工方不许擅自动用未经公司许可的工具、设备和其它装置。</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3.27在施工中需动用或拆除公司水、电、蒸汽、机电、设备、仪表、工艺装置、建筑物、地面、预留孔盖板，各类安全装置等 ，经施工主管部门许可后方可进行。</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3.28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3.29乙方在作业过程中必须服从甲方统一协调、管理。由于乙方未服从管理，违反本协议要求，造成人员伤害或财产损失的，由乙方承担。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事故责任处理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4.1乙方按规定在生产作业过程中采取适当的安全防护措施，承担由于违章作业、管理不力、设备设施不良等过错造成的事故的责任和因此产生的一切费用及后果。</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4.2乙方发生人员伤亡事故时，应保护好事故现场，并按国家、地方政府有关规定的程序，立即上报甲方和有关部门进行调查处理。甲方为抢救提供必要的条件，发生的费用由乙方承担。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其它事项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5.1本协议作为《施工合同》附件；如与项目合同内容发生冲突，以项目合同内容为准。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5.2本协议自签订之日起生效，至主合同履行结束，本协议有效期为两年。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5.3本协议一式六份，甲方执肆份，乙方执贰份，与主合同具有同等法律效力。</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5.4其它未尽事宜由双方协商解决，协商不成由甲方所在地人民法院诉讼解决。</w:t>
      </w:r>
    </w:p>
    <w:p>
      <w:pPr>
        <w:spacing w:line="360" w:lineRule="auto"/>
        <w:ind w:left="567"/>
        <w:jc w:val="left"/>
        <w:rPr>
          <w:rFonts w:asciiTheme="minorEastAsia" w:hAnsiTheme="minorEastAsia" w:eastAsiaTheme="minorEastAsia"/>
          <w:sz w:val="24"/>
          <w:szCs w:val="24"/>
        </w:rPr>
      </w:pPr>
    </w:p>
    <w:p>
      <w:pPr>
        <w:rPr>
          <w:rFonts w:hint="eastAsia" w:ascii="宋体" w:hAnsi="宋体" w:cs="微软雅黑"/>
          <w:b/>
          <w:sz w:val="32"/>
          <w:szCs w:val="20"/>
        </w:rPr>
      </w:pPr>
    </w:p>
    <w:p>
      <w:pPr>
        <w:rPr>
          <w:rFonts w:hint="eastAsia" w:ascii="宋体" w:hAnsi="宋体" w:cs="微软雅黑"/>
          <w:b/>
          <w:sz w:val="32"/>
          <w:szCs w:val="20"/>
        </w:rPr>
      </w:pPr>
      <w:r>
        <w:rPr>
          <w:rFonts w:hint="eastAsia" w:ascii="宋体" w:hAnsi="宋体" w:cs="微软雅黑"/>
          <w:b/>
          <w:sz w:val="32"/>
          <w:szCs w:val="20"/>
        </w:rPr>
        <w:t>附：相 关 方 管 理 考 核 标 准</w:t>
      </w:r>
    </w:p>
    <w:p>
      <w:pPr>
        <w:pStyle w:val="2"/>
      </w:pPr>
    </w:p>
    <w:p>
      <w:pPr>
        <w:rPr>
          <w:rFonts w:ascii="宋体" w:hAnsi="宋体" w:cs="微软雅黑"/>
          <w:kern w:val="0"/>
          <w:sz w:val="18"/>
          <w:szCs w:val="24"/>
        </w:rPr>
      </w:pPr>
    </w:p>
    <w:tbl>
      <w:tblPr>
        <w:tblStyle w:val="18"/>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068"/>
        <w:gridCol w:w="695"/>
        <w:gridCol w:w="5042"/>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74" w:hRule="exact"/>
          <w:tblHeader/>
          <w:jc w:val="center"/>
        </w:trPr>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sz w:val="24"/>
                <w:szCs w:val="24"/>
              </w:rPr>
            </w:pPr>
            <w:r>
              <w:rPr>
                <w:rFonts w:hint="eastAsia" w:ascii="宋体" w:hAnsi="宋体" w:cs="微软雅黑"/>
                <w:b/>
                <w:sz w:val="24"/>
                <w:szCs w:val="24"/>
              </w:rPr>
              <w:t>项目分类</w:t>
            </w:r>
          </w:p>
        </w:tc>
        <w:tc>
          <w:tcPr>
            <w:tcW w:w="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sz w:val="24"/>
                <w:szCs w:val="24"/>
              </w:rPr>
            </w:pPr>
            <w:r>
              <w:rPr>
                <w:rFonts w:hint="eastAsia" w:ascii="宋体" w:hAnsi="宋体" w:cs="微软雅黑"/>
                <w:b/>
                <w:sz w:val="24"/>
                <w:szCs w:val="24"/>
              </w:rPr>
              <w:t>序号</w:t>
            </w:r>
          </w:p>
        </w:tc>
        <w:tc>
          <w:tcPr>
            <w:tcW w:w="5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sz w:val="24"/>
                <w:szCs w:val="24"/>
              </w:rPr>
            </w:pPr>
            <w:r>
              <w:rPr>
                <w:rFonts w:hint="eastAsia" w:ascii="宋体" w:hAnsi="宋体" w:cs="微软雅黑"/>
                <w:b/>
                <w:sz w:val="24"/>
                <w:szCs w:val="24"/>
              </w:rPr>
              <w:t>违规内容</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sz w:val="24"/>
                <w:szCs w:val="24"/>
              </w:rPr>
            </w:pPr>
            <w:r>
              <w:rPr>
                <w:rFonts w:hint="eastAsia" w:ascii="宋体" w:hAnsi="宋体" w:cs="微软雅黑"/>
                <w:b/>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微软雅黑"/>
                <w:sz w:val="24"/>
                <w:szCs w:val="24"/>
              </w:rPr>
            </w:pPr>
            <w:r>
              <w:rPr>
                <w:rFonts w:hint="eastAsia" w:ascii="宋体" w:hAnsi="宋体" w:cs="微软雅黑"/>
                <w:sz w:val="24"/>
                <w:szCs w:val="24"/>
              </w:rPr>
              <w:t>日常管理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入场作业手续未完成即入场作业</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违反法律法规和公司各级各项安全环保规章制度</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未建立健全安全环保管理制度和安全操作规程</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应急预案不具有针对性，应急装备缺失</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HSE组织不健全，未依法配备专兼职安全环保管理人员</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未给从业人员缴纳工伤保险</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对接触职业病危害的作业人员未安排职业病体检</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没有给作业人员配备合格适用的劳动防护用品并督促其正确使用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1181"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安排有职业禁忌或职业病人员从事其所禁忌的作业。安排未成年工从事接触职业病危害的作业；安排孕期、哺乳期的女职工从事有毒物品的作业及其他国家禁止进行的作业。</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机械、电器设备和线路不符合有关安全技术规定要求</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特种设备未按期校验或校验不合格仍继续使用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安全设施设备、特种设备未按要求检查、维保</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888"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物品放置、设备布置和各类临时设施不符合安全、消防要求。占用消防安全通道，影响安全设备设施的正常使用。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从事各种活动时，未遵守企业安全生产要求，未制订可靠的安全防范措施</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违章指挥</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违章作业、违反劳动纪律</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未经常组织安全学习活动，不按规定进行安全检查</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未积极配合公司组织的安全环保检查和应急演练等主题活动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安全检查、隐患排查治理未进行，未保存相关记录，未按照要求反馈整改结果</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不能按期整改事故隐患</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隐患整改弄虚作假</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未进行安全教育即上岗作业或不能提供有效培训记录</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擅自更换项目负责人、安全管理人员</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从事非法经营或者其它违法活动；擅自转租</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5"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擅自将承包项目分包或转包他人；分包或转包不具备安全生产条件的单位和个人</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微软雅黑"/>
                <w:sz w:val="24"/>
                <w:szCs w:val="24"/>
              </w:rPr>
            </w:pPr>
            <w:r>
              <w:rPr>
                <w:rFonts w:hint="eastAsia" w:ascii="宋体" w:hAnsi="宋体" w:cs="微软雅黑"/>
                <w:sz w:val="24"/>
                <w:szCs w:val="24"/>
              </w:rPr>
              <w:t>擅自搭建、改建、改变场所和房屋使用性质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发生不安全情况或人身伤亡事故，相关方未立即报告相关方主管部门和安全环保部门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发生重伤事故</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发生死亡事故</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对事故情况瞒报、谎报、弄虚作假</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未及时组织抢救伤员，未保护好现场</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施工管理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未制定施工安全技术方案，就进行现场施工</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未在施工现场设置必要的HSE标志</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未经施工主管部门同意，擅自开展施工业务</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施工前未进行安全技术交底</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出现影响其他部门或人员安全行为未提前告知或采取防护措施</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施工人员不了解周围环境和作业对象的危险性和应急措施</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未按规定着装或佩戴劳动保护用品，从事与工作无关的事情</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施工作业期间，未按要求挂牌上锁</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安全不明仍冒险作业，擅自动用未经许可的工具、设备和其它装置</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891"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未经施工主管部门同意，动用或拆除公司水、电、蒸汽、机电、设备、仪表、工艺装置、建筑物、地面、预留孔盖板，各类安全装置</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洞口、坑、沟、临边未采取安全护栏、封闭盖板或其他防护措施的；防护措施不完善</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生活垃圾、施工垃圾随意丢弃、处理不当</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使用登高设施作业，登高设施安全防护措施缺失、下方无人监护</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 xml:space="preserve">危险作业未事先办理作业施工许可，未严格按照施工方案进行施工 </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未经相关部门同意擅自使用消防水</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0"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人员管理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入场作业人员未接受三级安全教育培训</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891"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项目负责人、专职安全管理人员、特种设备操作、特种作业人员未持证上岗或证件过期、伪造</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发生群体性事件</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违法公司门卫管理制度，车辆进出拒绝检查</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0"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存在酒后作业或其他不适宜作业行为</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1478"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设备设施管理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设备、设施、工具、附件有缺陷：设备在非正常状态下运行；维修、调整不良，强度不足</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电线电缆破皮、裸露，存在触电危险</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1478"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使用明令禁止的设备设施，存在重大隐患仍继续使用</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危险作业未使用或正确使用安全带、安全帽、防护面罩等安全防护用品</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损坏、挪用消防器材，使用后未及时上报更换</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新安装设备(施)，或机动车辆，未经安全验收就进行生产作业</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环境健康管理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职业危害防护设备设施、环保治理设备设施及安全防护设备设施未正常运行</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现场作业脏乱差</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发生环境污染事件（大气、水体、土壤污染）</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7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危险废物违规处理</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4" w:hRule="atLeast"/>
          <w:jc w:val="center"/>
        </w:trPr>
        <w:tc>
          <w:tcPr>
            <w:tcW w:w="10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作业管理</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操作错误，造成安全装置失效</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物体（指成品、半成品、材料、工具、切屑和生产用品等）存放不符合安全、环保要求</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1184"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 xml:space="preserve">未经许可进入有限空间；在起吊物、吊臂下作业、停留、穿行；机器运转时加油、修理、检查、调整、焊接、清扫等作业；调整、检修、清扫设备时未切断电源，测量工件时未停车等 </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操作特种设备或特种作业人员违反安全操作规程</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891"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违规穿戴：留长发、披发、发辫而不戴工作帽或不将发辫塞入帽内</w:t>
            </w:r>
            <w:r>
              <w:rPr>
                <w:rFonts w:hint="eastAsia" w:ascii="宋体" w:hAnsi="宋体" w:cs="微软雅黑"/>
                <w:kern w:val="0"/>
                <w:sz w:val="24"/>
                <w:szCs w:val="24"/>
              </w:rPr>
              <w:t>；戴手套操作旋转机床；穿化纤服装进入易燃易爆作业场所</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98"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在禁火区抽烟，擅自动火</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挥发类、腐蚀类及易燃类化学品使用后未封闭存放</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08"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电线私拉乱接</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厂内机动车辆未按规定载人、载物；机动车辆行驶时，进行上、下及抛掷物品</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高空作业时，任意掷扔物件，不设警戒，无监护人</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97" w:hRule="atLeast"/>
          <w:jc w:val="center"/>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检修电气设备(施)时未停电、验电、接地及挂牌操作</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4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微软雅黑"/>
                <w:sz w:val="24"/>
                <w:szCs w:val="24"/>
              </w:rPr>
            </w:pPr>
            <w:r>
              <w:rPr>
                <w:rFonts w:hint="eastAsia" w:ascii="宋体" w:hAnsi="宋体" w:cs="微软雅黑"/>
                <w:sz w:val="24"/>
                <w:szCs w:val="24"/>
              </w:rPr>
              <w:t>其它</w:t>
            </w:r>
          </w:p>
        </w:tc>
        <w:tc>
          <w:tcPr>
            <w:tcW w:w="695"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宋体" w:hAnsi="宋体" w:cs="微软雅黑"/>
                <w:kern w:val="0"/>
                <w:sz w:val="24"/>
                <w:szCs w:val="24"/>
              </w:rPr>
            </w:pPr>
          </w:p>
        </w:tc>
        <w:tc>
          <w:tcPr>
            <w:tcW w:w="5042"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sz w:val="24"/>
                <w:szCs w:val="24"/>
              </w:rPr>
            </w:pPr>
            <w:r>
              <w:rPr>
                <w:rFonts w:hint="eastAsia" w:ascii="宋体" w:hAnsi="宋体" w:cs="微软雅黑"/>
                <w:sz w:val="24"/>
                <w:szCs w:val="24"/>
              </w:rPr>
              <w:t>其它不符合安全环保职业健康要求事项</w:t>
            </w:r>
          </w:p>
        </w:tc>
        <w:tc>
          <w:tcPr>
            <w:tcW w:w="16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sz w:val="24"/>
                <w:szCs w:val="24"/>
              </w:rPr>
            </w:pPr>
            <w:r>
              <w:rPr>
                <w:rFonts w:hint="eastAsia" w:ascii="宋体" w:hAnsi="宋体" w:cs="微软雅黑"/>
                <w:sz w:val="24"/>
                <w:szCs w:val="24"/>
              </w:rPr>
              <w:t>500元/次</w:t>
            </w:r>
          </w:p>
        </w:tc>
      </w:tr>
    </w:tbl>
    <w:p>
      <w:pPr>
        <w:jc w:val="left"/>
        <w:rPr>
          <w:rFonts w:asciiTheme="minorEastAsia" w:hAnsiTheme="minorEastAsia" w:eastAsiaTheme="minorEastAsia"/>
          <w:sz w:val="24"/>
          <w:szCs w:val="24"/>
        </w:rPr>
      </w:pPr>
    </w:p>
    <w:p>
      <w:pPr>
        <w:spacing w:line="560" w:lineRule="exact"/>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甲方（盖章）：                           乙方（盖章）：</w:t>
      </w:r>
      <w:r>
        <w:rPr>
          <w:rFonts w:hint="eastAsia" w:asciiTheme="minorEastAsia" w:hAnsiTheme="minorEastAsia" w:eastAsiaTheme="minorEastAsia"/>
          <w:bCs/>
          <w:color w:val="000000" w:themeColor="text1"/>
          <w:sz w:val="24"/>
          <w14:textFill>
            <w14:solidFill>
              <w14:schemeClr w14:val="tx1"/>
            </w14:solidFill>
          </w14:textFill>
        </w:rPr>
        <w:t xml:space="preserve"> </w:t>
      </w:r>
    </w:p>
    <w:p>
      <w:pPr>
        <w:spacing w:line="560" w:lineRule="exact"/>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                           授权代表签字：</w:t>
      </w:r>
    </w:p>
    <w:p>
      <w:pPr>
        <w:spacing w:line="440" w:lineRule="exact"/>
        <w:ind w:left="6695" w:leftChars="472" w:hanging="5704" w:hangingChars="2377"/>
        <w:rPr>
          <w:rFonts w:asciiTheme="minorEastAsia" w:hAnsiTheme="minorEastAsia" w:eastAsiaTheme="minorEastAsia"/>
          <w:color w:val="000000" w:themeColor="text1"/>
          <w:sz w:val="24"/>
          <w14:textFill>
            <w14:solidFill>
              <w14:schemeClr w14:val="tx1"/>
            </w14:solidFill>
          </w14:textFill>
        </w:rPr>
      </w:pPr>
    </w:p>
    <w:p>
      <w:pPr>
        <w:ind w:left="145" w:leftChars="69"/>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202  </w:t>
      </w:r>
      <w:r>
        <w:rPr>
          <w:rFonts w:hint="eastAsia"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               日  期：</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202  </w:t>
      </w:r>
      <w:r>
        <w:rPr>
          <w:rFonts w:hint="eastAsia" w:asciiTheme="minorEastAsia" w:hAnsiTheme="minorEastAsia" w:eastAsiaTheme="minorEastAsia"/>
          <w:color w:val="000000" w:themeColor="text1"/>
          <w:sz w:val="24"/>
          <w14:textFill>
            <w14:solidFill>
              <w14:schemeClr w14:val="tx1"/>
            </w14:solidFill>
          </w14:textFill>
        </w:rPr>
        <w:t xml:space="preserve">年 </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w:t>
      </w:r>
    </w:p>
    <w:p>
      <w:pPr>
        <w:spacing w:line="360" w:lineRule="auto"/>
        <w:jc w:val="left"/>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pStyle w:val="4"/>
        <w:rPr>
          <w:rFonts w:asciiTheme="minorEastAsia" w:hAnsiTheme="minorEastAsia" w:eastAsiaTheme="minorEastAsia" w:cstheme="minorEastAsia"/>
          <w:sz w:val="24"/>
          <w:szCs w:val="24"/>
        </w:rPr>
      </w:pPr>
    </w:p>
    <w:p>
      <w:pPr>
        <w:snapToGrid w:val="0"/>
        <w:spacing w:before="217" w:beforeLines="50" w:after="217" w:afterLines="50"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附件3.</w:t>
      </w:r>
      <w:r>
        <w:rPr>
          <w:rFonts w:hint="eastAsia" w:ascii="宋体" w:hAnsi="宋体" w:eastAsia="宋体" w:cs="宋体"/>
          <w:b/>
          <w:bCs/>
          <w:color w:val="auto"/>
          <w:sz w:val="24"/>
          <w:szCs w:val="24"/>
          <w:highlight w:val="none"/>
        </w:rPr>
        <w:t>诚信自律特别协议</w:t>
      </w:r>
    </w:p>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诚信自律特别协议</w:t>
      </w:r>
    </w:p>
    <w:p>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w:t>
      </w:r>
    </w:p>
    <w:p>
      <w:pPr>
        <w:pStyle w:val="4"/>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诚信责任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不得以任何理由为甲方人员报销应由甲方或个人支付的费用；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不得与甲方人员发生任何合资合作、借贷关系，也不得参与甲方人员的婚丧嫁娶活动；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不得以任何理由为甲方人员提供黄赌毒等违法活动；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乙方不得以任何借口和理由给予甲方人员任何形式的利益或好处。</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乙方同意约束其工作人员遵守上述约定并为其工作人员行为后果负责。</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违约责任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甲方人员如有违反本诚信自律特别协议的，一经查实，甲方将对责任人给予警告、处分、直至解除劳动合同。涉嫌犯罪的，则送交司法机关追究其法律责任。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如乙方违反本诚信自律特别协议的，应按以下对应情形向甲方承担违约责任且甲方有权从应付款项或各类保证金中直接扣除乙方应承担的赔偿金：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涉嫌犯罪的，则送交司法机关追究其法律责任。</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2.5如乙方违反本诚信自律特别协议约定的，甲方均有权终止双方合作并将乙方列入黑名单、以后不再作为供应商纳入等处理措施。</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举报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"mailto:integrity@Geely.com"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COC-t@Geely.com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其他约定</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4.1本协议经双方签字并盖章后生效。</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4.2本诚信自律特别协议与业务合同具有同等法律效力，作为业务合同的附件。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4.3业务</w:t>
      </w:r>
      <w:bookmarkStart w:id="2" w:name="_Hlk92788699"/>
      <w:r>
        <w:rPr>
          <w:rFonts w:hint="eastAsia" w:ascii="宋体" w:hAnsi="宋体" w:eastAsia="宋体" w:cs="宋体"/>
          <w:color w:val="auto"/>
          <w:sz w:val="24"/>
          <w:szCs w:val="24"/>
          <w:highlight w:val="none"/>
        </w:rPr>
        <w:t>合同的变更、转让、终止或被撤销、无效不影响本诚信自律特别协议的效力。</w:t>
      </w:r>
      <w:bookmarkEnd w:id="2"/>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4.4本协议履行中任何争议均应向甲方所在地人民法院诉讼解决。</w:t>
      </w:r>
    </w:p>
    <w:p>
      <w:pPr>
        <w:spacing w:line="400" w:lineRule="exact"/>
        <w:ind w:firstLine="480" w:firstLineChars="200"/>
        <w:rPr>
          <w:rFonts w:hint="eastAsia" w:ascii="宋体" w:hAnsi="宋体" w:eastAsia="宋体" w:cs="宋体"/>
          <w:color w:val="auto"/>
          <w:sz w:val="24"/>
          <w:szCs w:val="24"/>
          <w:highlight w:val="none"/>
        </w:rPr>
      </w:pPr>
      <w:bookmarkStart w:id="3" w:name="_Hlk74814265"/>
      <w:r>
        <w:rPr>
          <w:rFonts w:hint="eastAsia" w:ascii="宋体" w:hAnsi="宋体" w:eastAsia="宋体" w:cs="宋体"/>
          <w:color w:val="auto"/>
          <w:sz w:val="24"/>
          <w:szCs w:val="24"/>
          <w:highlight w:val="none"/>
        </w:rPr>
        <w:t>(以下无正文)</w:t>
      </w:r>
    </w:p>
    <w:p>
      <w:pPr>
        <w:pStyle w:val="2"/>
        <w:rPr>
          <w:rFonts w:hint="eastAsia"/>
        </w:rPr>
      </w:pPr>
    </w:p>
    <w:bookmarkEnd w:id="3"/>
    <w:tbl>
      <w:tblPr>
        <w:tblStyle w:val="19"/>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p>
        </w:tc>
        <w:tc>
          <w:tcPr>
            <w:tcW w:w="4350" w:type="dxa"/>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 xml:space="preserve">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签字</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2"/>
              <w:rPr>
                <w:rFonts w:hint="eastAsia" w:ascii="宋体" w:hAnsi="宋体" w:eastAsia="宋体" w:cs="宋体"/>
                <w:sz w:val="24"/>
                <w:szCs w:val="24"/>
              </w:rPr>
            </w:pPr>
          </w:p>
          <w:p>
            <w:pPr>
              <w:pStyle w:val="4"/>
              <w:rPr>
                <w:rFonts w:hint="eastAsia" w:ascii="宋体" w:hAnsi="宋体" w:eastAsia="宋体" w:cs="宋体"/>
                <w:sz w:val="24"/>
                <w:szCs w:val="24"/>
              </w:rPr>
            </w:pPr>
          </w:p>
        </w:tc>
        <w:tc>
          <w:tcPr>
            <w:tcW w:w="4350" w:type="dxa"/>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签订时间: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月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tc>
        <w:tc>
          <w:tcPr>
            <w:tcW w:w="4350" w:type="dxa"/>
          </w:tcPr>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签订时间: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月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tc>
      </w:tr>
    </w:tbl>
    <w:p>
      <w:pPr>
        <w:pStyle w:val="4"/>
        <w:rPr>
          <w:rFonts w:asciiTheme="minorEastAsia" w:hAnsiTheme="minorEastAsia" w:eastAsiaTheme="minorEastAsia" w:cstheme="minorEastAsia"/>
          <w:sz w:val="24"/>
          <w:szCs w:val="24"/>
        </w:rPr>
      </w:pPr>
    </w:p>
    <w:sectPr>
      <w:footerReference r:id="rId5" w:type="first"/>
      <w:headerReference r:id="rId3" w:type="default"/>
      <w:footerReference r:id="rId4" w:type="default"/>
      <w:pgSz w:w="11850" w:h="16783"/>
      <w:pgMar w:top="1440" w:right="1803" w:bottom="1440" w:left="180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_GBK">
    <w:altName w:val="微软雅黑"/>
    <w:panose1 w:val="02000000000000000000"/>
    <w:charset w:val="86"/>
    <w:family w:val="swiss"/>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30</w:t>
                    </w:r>
                    <w: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rFonts w:ascii="黑体" w:eastAsia="黑体"/>
        <w:sz w:val="18"/>
        <w:szCs w:val="18"/>
      </w:rPr>
    </w:pPr>
    <w:r>
      <w:rPr>
        <w:rFonts w:ascii="黑体" w:eastAsia="黑体"/>
        <w:sz w:val="18"/>
        <w:szCs w:val="18"/>
      </w:rPr>
      <w:drawing>
        <wp:anchor distT="0" distB="0" distL="114300" distR="114300" simplePos="0" relativeHeight="251659264" behindDoc="0" locked="0" layoutInCell="1" allowOverlap="1">
          <wp:simplePos x="0" y="0"/>
          <wp:positionH relativeFrom="margin">
            <wp:posOffset>-158750</wp:posOffset>
          </wp:positionH>
          <wp:positionV relativeFrom="paragraph">
            <wp:posOffset>0</wp:posOffset>
          </wp:positionV>
          <wp:extent cx="1081405" cy="239395"/>
          <wp:effectExtent l="0" t="0" r="0" b="6985"/>
          <wp:wrapNone/>
          <wp:docPr id="17" name="图片 17"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4091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3A441E"/>
    <w:multiLevelType w:val="multilevel"/>
    <w:tmpl w:val="563A441E"/>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Y4OTUxMDMzODFlYzI3ZjY5NDRlNWU0MjcyNTgifQ=="/>
  </w:docVars>
  <w:rsids>
    <w:rsidRoot w:val="00E92E94"/>
    <w:rsid w:val="000003F6"/>
    <w:rsid w:val="00017EF9"/>
    <w:rsid w:val="00024A20"/>
    <w:rsid w:val="00025D43"/>
    <w:rsid w:val="000303B8"/>
    <w:rsid w:val="000368EA"/>
    <w:rsid w:val="000401E6"/>
    <w:rsid w:val="000438EA"/>
    <w:rsid w:val="00052174"/>
    <w:rsid w:val="00060B41"/>
    <w:rsid w:val="000620E9"/>
    <w:rsid w:val="00062BC4"/>
    <w:rsid w:val="00072BC2"/>
    <w:rsid w:val="00074941"/>
    <w:rsid w:val="00076211"/>
    <w:rsid w:val="00077ECD"/>
    <w:rsid w:val="000858C8"/>
    <w:rsid w:val="00087C20"/>
    <w:rsid w:val="00094840"/>
    <w:rsid w:val="00094DCE"/>
    <w:rsid w:val="000974D8"/>
    <w:rsid w:val="000B015D"/>
    <w:rsid w:val="000B3162"/>
    <w:rsid w:val="000C0CEE"/>
    <w:rsid w:val="000C4D49"/>
    <w:rsid w:val="000D733A"/>
    <w:rsid w:val="000E594D"/>
    <w:rsid w:val="000E7DD2"/>
    <w:rsid w:val="000F64A5"/>
    <w:rsid w:val="00111C8D"/>
    <w:rsid w:val="001234EB"/>
    <w:rsid w:val="00124746"/>
    <w:rsid w:val="00124838"/>
    <w:rsid w:val="0012523F"/>
    <w:rsid w:val="00127AA5"/>
    <w:rsid w:val="00131E22"/>
    <w:rsid w:val="00134174"/>
    <w:rsid w:val="001364BA"/>
    <w:rsid w:val="00137ECE"/>
    <w:rsid w:val="00142723"/>
    <w:rsid w:val="0014311C"/>
    <w:rsid w:val="00154EBE"/>
    <w:rsid w:val="00155B19"/>
    <w:rsid w:val="0015688C"/>
    <w:rsid w:val="00163DD3"/>
    <w:rsid w:val="00165456"/>
    <w:rsid w:val="00180695"/>
    <w:rsid w:val="00180EB3"/>
    <w:rsid w:val="001837D7"/>
    <w:rsid w:val="001844D5"/>
    <w:rsid w:val="00196F90"/>
    <w:rsid w:val="001A139B"/>
    <w:rsid w:val="001A5144"/>
    <w:rsid w:val="001A73BB"/>
    <w:rsid w:val="001B467F"/>
    <w:rsid w:val="001B6277"/>
    <w:rsid w:val="001B7317"/>
    <w:rsid w:val="001B7945"/>
    <w:rsid w:val="001C0282"/>
    <w:rsid w:val="001C203C"/>
    <w:rsid w:val="001E6129"/>
    <w:rsid w:val="001E7532"/>
    <w:rsid w:val="002159F8"/>
    <w:rsid w:val="00216CDB"/>
    <w:rsid w:val="00224C70"/>
    <w:rsid w:val="0022673C"/>
    <w:rsid w:val="002307E4"/>
    <w:rsid w:val="00231B31"/>
    <w:rsid w:val="00236019"/>
    <w:rsid w:val="00243C7A"/>
    <w:rsid w:val="002502B6"/>
    <w:rsid w:val="00255FDC"/>
    <w:rsid w:val="00260FE9"/>
    <w:rsid w:val="00270E96"/>
    <w:rsid w:val="002766D9"/>
    <w:rsid w:val="002775CF"/>
    <w:rsid w:val="00282910"/>
    <w:rsid w:val="00292615"/>
    <w:rsid w:val="002946D5"/>
    <w:rsid w:val="002969C3"/>
    <w:rsid w:val="00296F91"/>
    <w:rsid w:val="00297FC9"/>
    <w:rsid w:val="002B1E32"/>
    <w:rsid w:val="002B43E5"/>
    <w:rsid w:val="002B4C09"/>
    <w:rsid w:val="002B4FA7"/>
    <w:rsid w:val="002C36AF"/>
    <w:rsid w:val="002C51B9"/>
    <w:rsid w:val="002C6BFE"/>
    <w:rsid w:val="002D0EFE"/>
    <w:rsid w:val="002D29CE"/>
    <w:rsid w:val="002D51C2"/>
    <w:rsid w:val="002D6652"/>
    <w:rsid w:val="002E0242"/>
    <w:rsid w:val="002F101A"/>
    <w:rsid w:val="002F6EB5"/>
    <w:rsid w:val="0030278B"/>
    <w:rsid w:val="00302AFC"/>
    <w:rsid w:val="00314AEA"/>
    <w:rsid w:val="00316D93"/>
    <w:rsid w:val="00320076"/>
    <w:rsid w:val="00323A7D"/>
    <w:rsid w:val="00331EA2"/>
    <w:rsid w:val="003411F8"/>
    <w:rsid w:val="00344AB6"/>
    <w:rsid w:val="00352359"/>
    <w:rsid w:val="00354C5F"/>
    <w:rsid w:val="00356DF8"/>
    <w:rsid w:val="003676FD"/>
    <w:rsid w:val="00374BEA"/>
    <w:rsid w:val="00376D22"/>
    <w:rsid w:val="003813E0"/>
    <w:rsid w:val="00382539"/>
    <w:rsid w:val="0039695C"/>
    <w:rsid w:val="00396D6D"/>
    <w:rsid w:val="003B4F58"/>
    <w:rsid w:val="003B6A72"/>
    <w:rsid w:val="003C00E4"/>
    <w:rsid w:val="003C0E63"/>
    <w:rsid w:val="003C1D0A"/>
    <w:rsid w:val="003C7264"/>
    <w:rsid w:val="003D7589"/>
    <w:rsid w:val="003E094B"/>
    <w:rsid w:val="003E188A"/>
    <w:rsid w:val="003E2EB2"/>
    <w:rsid w:val="003F325F"/>
    <w:rsid w:val="003F7919"/>
    <w:rsid w:val="003F7A53"/>
    <w:rsid w:val="00402A99"/>
    <w:rsid w:val="004030B1"/>
    <w:rsid w:val="004143DA"/>
    <w:rsid w:val="0041732F"/>
    <w:rsid w:val="00425536"/>
    <w:rsid w:val="00434386"/>
    <w:rsid w:val="004410A6"/>
    <w:rsid w:val="00441C8E"/>
    <w:rsid w:val="004668B6"/>
    <w:rsid w:val="0047267D"/>
    <w:rsid w:val="004727AF"/>
    <w:rsid w:val="00473126"/>
    <w:rsid w:val="004842C1"/>
    <w:rsid w:val="00486A9B"/>
    <w:rsid w:val="00487E92"/>
    <w:rsid w:val="004A3937"/>
    <w:rsid w:val="004A435C"/>
    <w:rsid w:val="004A4EB5"/>
    <w:rsid w:val="004A5384"/>
    <w:rsid w:val="004A5444"/>
    <w:rsid w:val="004A5A4C"/>
    <w:rsid w:val="004A5D93"/>
    <w:rsid w:val="004B0349"/>
    <w:rsid w:val="004B550F"/>
    <w:rsid w:val="004B5CAF"/>
    <w:rsid w:val="004D0270"/>
    <w:rsid w:val="004E476B"/>
    <w:rsid w:val="004F31C3"/>
    <w:rsid w:val="004F3781"/>
    <w:rsid w:val="004F51E3"/>
    <w:rsid w:val="00500B6D"/>
    <w:rsid w:val="005159AE"/>
    <w:rsid w:val="0051765E"/>
    <w:rsid w:val="00517C89"/>
    <w:rsid w:val="005208F9"/>
    <w:rsid w:val="005212B2"/>
    <w:rsid w:val="00534A97"/>
    <w:rsid w:val="00534D47"/>
    <w:rsid w:val="0055026E"/>
    <w:rsid w:val="0055240A"/>
    <w:rsid w:val="005530DF"/>
    <w:rsid w:val="00554F72"/>
    <w:rsid w:val="00560739"/>
    <w:rsid w:val="005641D1"/>
    <w:rsid w:val="00592515"/>
    <w:rsid w:val="005A0225"/>
    <w:rsid w:val="005A2B8D"/>
    <w:rsid w:val="005A4F28"/>
    <w:rsid w:val="005A5391"/>
    <w:rsid w:val="005A5C4B"/>
    <w:rsid w:val="005B2E3C"/>
    <w:rsid w:val="005B6A1C"/>
    <w:rsid w:val="005B7FC5"/>
    <w:rsid w:val="005C62C1"/>
    <w:rsid w:val="005C7974"/>
    <w:rsid w:val="005E528E"/>
    <w:rsid w:val="005E6EF3"/>
    <w:rsid w:val="005E7A52"/>
    <w:rsid w:val="005F245A"/>
    <w:rsid w:val="00601E82"/>
    <w:rsid w:val="006179BD"/>
    <w:rsid w:val="006205EC"/>
    <w:rsid w:val="00620932"/>
    <w:rsid w:val="00623375"/>
    <w:rsid w:val="00623641"/>
    <w:rsid w:val="0063339C"/>
    <w:rsid w:val="00634577"/>
    <w:rsid w:val="006352E9"/>
    <w:rsid w:val="006365B7"/>
    <w:rsid w:val="00636E04"/>
    <w:rsid w:val="006461B0"/>
    <w:rsid w:val="006621C4"/>
    <w:rsid w:val="006669F6"/>
    <w:rsid w:val="00692C1D"/>
    <w:rsid w:val="00694390"/>
    <w:rsid w:val="006A0135"/>
    <w:rsid w:val="006A246C"/>
    <w:rsid w:val="006A423F"/>
    <w:rsid w:val="006B1111"/>
    <w:rsid w:val="006B175A"/>
    <w:rsid w:val="006B40DA"/>
    <w:rsid w:val="006B470A"/>
    <w:rsid w:val="006B7CCC"/>
    <w:rsid w:val="006C1693"/>
    <w:rsid w:val="006C390E"/>
    <w:rsid w:val="006C3A66"/>
    <w:rsid w:val="006C43D9"/>
    <w:rsid w:val="006C4777"/>
    <w:rsid w:val="006D31FB"/>
    <w:rsid w:val="006F4EBB"/>
    <w:rsid w:val="006F692D"/>
    <w:rsid w:val="007028DB"/>
    <w:rsid w:val="0070397A"/>
    <w:rsid w:val="00711A03"/>
    <w:rsid w:val="007136F6"/>
    <w:rsid w:val="00717E79"/>
    <w:rsid w:val="0074357B"/>
    <w:rsid w:val="007537D5"/>
    <w:rsid w:val="00756A35"/>
    <w:rsid w:val="00762C69"/>
    <w:rsid w:val="00770D62"/>
    <w:rsid w:val="0077537E"/>
    <w:rsid w:val="00776AD1"/>
    <w:rsid w:val="0078444D"/>
    <w:rsid w:val="007877D9"/>
    <w:rsid w:val="007B58DD"/>
    <w:rsid w:val="007B6D70"/>
    <w:rsid w:val="007C5161"/>
    <w:rsid w:val="007D400B"/>
    <w:rsid w:val="007E76DC"/>
    <w:rsid w:val="007F2B6A"/>
    <w:rsid w:val="007F3FB3"/>
    <w:rsid w:val="007F7821"/>
    <w:rsid w:val="008016AA"/>
    <w:rsid w:val="008142E6"/>
    <w:rsid w:val="00820703"/>
    <w:rsid w:val="00824029"/>
    <w:rsid w:val="00826D0D"/>
    <w:rsid w:val="00827706"/>
    <w:rsid w:val="00831EA6"/>
    <w:rsid w:val="0083297D"/>
    <w:rsid w:val="00835C39"/>
    <w:rsid w:val="00835EF8"/>
    <w:rsid w:val="00840388"/>
    <w:rsid w:val="00843079"/>
    <w:rsid w:val="00853E94"/>
    <w:rsid w:val="00855DA5"/>
    <w:rsid w:val="00875B53"/>
    <w:rsid w:val="00881660"/>
    <w:rsid w:val="00882416"/>
    <w:rsid w:val="008A4AD7"/>
    <w:rsid w:val="008A6EA5"/>
    <w:rsid w:val="008B291A"/>
    <w:rsid w:val="008B33B2"/>
    <w:rsid w:val="008C31AA"/>
    <w:rsid w:val="008E14F2"/>
    <w:rsid w:val="008E25CD"/>
    <w:rsid w:val="008E25E8"/>
    <w:rsid w:val="008E63EC"/>
    <w:rsid w:val="008F4DC1"/>
    <w:rsid w:val="008F693C"/>
    <w:rsid w:val="00901CD9"/>
    <w:rsid w:val="00904686"/>
    <w:rsid w:val="00904E2F"/>
    <w:rsid w:val="00922623"/>
    <w:rsid w:val="00925062"/>
    <w:rsid w:val="0092538D"/>
    <w:rsid w:val="009335E8"/>
    <w:rsid w:val="009338AC"/>
    <w:rsid w:val="00934E43"/>
    <w:rsid w:val="00936560"/>
    <w:rsid w:val="00936A3F"/>
    <w:rsid w:val="00937F0E"/>
    <w:rsid w:val="00943CC5"/>
    <w:rsid w:val="00950161"/>
    <w:rsid w:val="00952F57"/>
    <w:rsid w:val="00953B23"/>
    <w:rsid w:val="00973659"/>
    <w:rsid w:val="00981913"/>
    <w:rsid w:val="00981D2B"/>
    <w:rsid w:val="0098205C"/>
    <w:rsid w:val="009844B9"/>
    <w:rsid w:val="009858B3"/>
    <w:rsid w:val="00995D00"/>
    <w:rsid w:val="009C0825"/>
    <w:rsid w:val="009C26E2"/>
    <w:rsid w:val="009C5FE5"/>
    <w:rsid w:val="009D153C"/>
    <w:rsid w:val="009D4FE0"/>
    <w:rsid w:val="009D5CCA"/>
    <w:rsid w:val="009D6B6F"/>
    <w:rsid w:val="009D70E0"/>
    <w:rsid w:val="009D75AA"/>
    <w:rsid w:val="009E00AF"/>
    <w:rsid w:val="009E4A59"/>
    <w:rsid w:val="009F52ED"/>
    <w:rsid w:val="009F5B9B"/>
    <w:rsid w:val="009F6468"/>
    <w:rsid w:val="00A032F1"/>
    <w:rsid w:val="00A046B2"/>
    <w:rsid w:val="00A15EE9"/>
    <w:rsid w:val="00A2443A"/>
    <w:rsid w:val="00A31CA9"/>
    <w:rsid w:val="00A33EBC"/>
    <w:rsid w:val="00A362CF"/>
    <w:rsid w:val="00A36891"/>
    <w:rsid w:val="00A51A67"/>
    <w:rsid w:val="00A64834"/>
    <w:rsid w:val="00A64E7A"/>
    <w:rsid w:val="00A65658"/>
    <w:rsid w:val="00A66E38"/>
    <w:rsid w:val="00A7243A"/>
    <w:rsid w:val="00A81C9B"/>
    <w:rsid w:val="00A86B05"/>
    <w:rsid w:val="00A90F68"/>
    <w:rsid w:val="00A93626"/>
    <w:rsid w:val="00AA1C0D"/>
    <w:rsid w:val="00AA2EBC"/>
    <w:rsid w:val="00AB28DF"/>
    <w:rsid w:val="00AB2A15"/>
    <w:rsid w:val="00AC1D32"/>
    <w:rsid w:val="00AC3412"/>
    <w:rsid w:val="00AC4368"/>
    <w:rsid w:val="00AE4A50"/>
    <w:rsid w:val="00AE4BC0"/>
    <w:rsid w:val="00AF5A37"/>
    <w:rsid w:val="00B038B9"/>
    <w:rsid w:val="00B10340"/>
    <w:rsid w:val="00B16C4E"/>
    <w:rsid w:val="00B21850"/>
    <w:rsid w:val="00B222CC"/>
    <w:rsid w:val="00B30DD1"/>
    <w:rsid w:val="00B345D2"/>
    <w:rsid w:val="00B34D5E"/>
    <w:rsid w:val="00B42E4F"/>
    <w:rsid w:val="00B43309"/>
    <w:rsid w:val="00B44145"/>
    <w:rsid w:val="00B46775"/>
    <w:rsid w:val="00B5468A"/>
    <w:rsid w:val="00B5483A"/>
    <w:rsid w:val="00B57E97"/>
    <w:rsid w:val="00B628FC"/>
    <w:rsid w:val="00B6297A"/>
    <w:rsid w:val="00B8016C"/>
    <w:rsid w:val="00B81E89"/>
    <w:rsid w:val="00B84D1B"/>
    <w:rsid w:val="00B85BA9"/>
    <w:rsid w:val="00B9145A"/>
    <w:rsid w:val="00BA1FE8"/>
    <w:rsid w:val="00BA4C96"/>
    <w:rsid w:val="00BB0CE2"/>
    <w:rsid w:val="00BB1977"/>
    <w:rsid w:val="00BE1574"/>
    <w:rsid w:val="00BE26F5"/>
    <w:rsid w:val="00BE35D2"/>
    <w:rsid w:val="00BE5053"/>
    <w:rsid w:val="00BF1352"/>
    <w:rsid w:val="00C112AD"/>
    <w:rsid w:val="00C133FD"/>
    <w:rsid w:val="00C1576E"/>
    <w:rsid w:val="00C24F7E"/>
    <w:rsid w:val="00C2782C"/>
    <w:rsid w:val="00C40F65"/>
    <w:rsid w:val="00C5057B"/>
    <w:rsid w:val="00C627C8"/>
    <w:rsid w:val="00C64DD4"/>
    <w:rsid w:val="00C66096"/>
    <w:rsid w:val="00C66AF4"/>
    <w:rsid w:val="00C708AE"/>
    <w:rsid w:val="00C72FAD"/>
    <w:rsid w:val="00C768D0"/>
    <w:rsid w:val="00C77395"/>
    <w:rsid w:val="00C8177D"/>
    <w:rsid w:val="00C82011"/>
    <w:rsid w:val="00C87197"/>
    <w:rsid w:val="00C908D6"/>
    <w:rsid w:val="00C92270"/>
    <w:rsid w:val="00CA2D4E"/>
    <w:rsid w:val="00CA36C8"/>
    <w:rsid w:val="00CA65B3"/>
    <w:rsid w:val="00CB10B8"/>
    <w:rsid w:val="00CC15C1"/>
    <w:rsid w:val="00CE6F85"/>
    <w:rsid w:val="00CE71F5"/>
    <w:rsid w:val="00CF2688"/>
    <w:rsid w:val="00D23713"/>
    <w:rsid w:val="00D2544F"/>
    <w:rsid w:val="00D50490"/>
    <w:rsid w:val="00D56B8F"/>
    <w:rsid w:val="00D66649"/>
    <w:rsid w:val="00D7159E"/>
    <w:rsid w:val="00D71E76"/>
    <w:rsid w:val="00D72D34"/>
    <w:rsid w:val="00D77BF0"/>
    <w:rsid w:val="00D82995"/>
    <w:rsid w:val="00D85E0C"/>
    <w:rsid w:val="00D862C4"/>
    <w:rsid w:val="00D86AB7"/>
    <w:rsid w:val="00D87E1C"/>
    <w:rsid w:val="00D920DD"/>
    <w:rsid w:val="00D938D7"/>
    <w:rsid w:val="00D944A2"/>
    <w:rsid w:val="00D96B86"/>
    <w:rsid w:val="00D974E1"/>
    <w:rsid w:val="00DB3F36"/>
    <w:rsid w:val="00DC3C6C"/>
    <w:rsid w:val="00DC70C7"/>
    <w:rsid w:val="00DD4641"/>
    <w:rsid w:val="00DD5884"/>
    <w:rsid w:val="00DE1EBB"/>
    <w:rsid w:val="00DE6D21"/>
    <w:rsid w:val="00DF341D"/>
    <w:rsid w:val="00DF4A6C"/>
    <w:rsid w:val="00DF5EC4"/>
    <w:rsid w:val="00E01369"/>
    <w:rsid w:val="00E0550F"/>
    <w:rsid w:val="00E31D31"/>
    <w:rsid w:val="00E3441E"/>
    <w:rsid w:val="00E3486D"/>
    <w:rsid w:val="00E34FE7"/>
    <w:rsid w:val="00E40BF4"/>
    <w:rsid w:val="00E43247"/>
    <w:rsid w:val="00E441C4"/>
    <w:rsid w:val="00E4588D"/>
    <w:rsid w:val="00E56D20"/>
    <w:rsid w:val="00E62C23"/>
    <w:rsid w:val="00E65D4F"/>
    <w:rsid w:val="00E872C9"/>
    <w:rsid w:val="00E87B05"/>
    <w:rsid w:val="00E92E94"/>
    <w:rsid w:val="00EA28B3"/>
    <w:rsid w:val="00EC43AD"/>
    <w:rsid w:val="00EE0EA9"/>
    <w:rsid w:val="00EE1DA1"/>
    <w:rsid w:val="00EF5B3A"/>
    <w:rsid w:val="00EF6DE0"/>
    <w:rsid w:val="00F12DEB"/>
    <w:rsid w:val="00F14863"/>
    <w:rsid w:val="00F14C98"/>
    <w:rsid w:val="00F232F4"/>
    <w:rsid w:val="00F371BA"/>
    <w:rsid w:val="00F372AF"/>
    <w:rsid w:val="00F403BA"/>
    <w:rsid w:val="00F44332"/>
    <w:rsid w:val="00F55188"/>
    <w:rsid w:val="00F55E9E"/>
    <w:rsid w:val="00F56653"/>
    <w:rsid w:val="00F61667"/>
    <w:rsid w:val="00F709B8"/>
    <w:rsid w:val="00F70E5D"/>
    <w:rsid w:val="00F76324"/>
    <w:rsid w:val="00F8324F"/>
    <w:rsid w:val="00F83570"/>
    <w:rsid w:val="00FA34D3"/>
    <w:rsid w:val="00FB358D"/>
    <w:rsid w:val="00FB4795"/>
    <w:rsid w:val="00FC2682"/>
    <w:rsid w:val="00FC4E75"/>
    <w:rsid w:val="00FC62AD"/>
    <w:rsid w:val="00FD2113"/>
    <w:rsid w:val="00FD5DB6"/>
    <w:rsid w:val="00FE47B1"/>
    <w:rsid w:val="00FF528E"/>
    <w:rsid w:val="01FD712E"/>
    <w:rsid w:val="024C42A5"/>
    <w:rsid w:val="06F90CA2"/>
    <w:rsid w:val="07784B5A"/>
    <w:rsid w:val="07DE2C5E"/>
    <w:rsid w:val="0B8115DD"/>
    <w:rsid w:val="0BF6017F"/>
    <w:rsid w:val="0CB24DF5"/>
    <w:rsid w:val="0D6E4FC3"/>
    <w:rsid w:val="141C791C"/>
    <w:rsid w:val="16E866F8"/>
    <w:rsid w:val="17921AF5"/>
    <w:rsid w:val="187A1E65"/>
    <w:rsid w:val="1A0E783F"/>
    <w:rsid w:val="1B063013"/>
    <w:rsid w:val="1E3D5221"/>
    <w:rsid w:val="20944A01"/>
    <w:rsid w:val="28A97706"/>
    <w:rsid w:val="2A4C11E2"/>
    <w:rsid w:val="2A7B7BFE"/>
    <w:rsid w:val="2B2D50E1"/>
    <w:rsid w:val="2EE32924"/>
    <w:rsid w:val="31CB1C37"/>
    <w:rsid w:val="329B0C96"/>
    <w:rsid w:val="35521A50"/>
    <w:rsid w:val="381B6BAC"/>
    <w:rsid w:val="38F33CBA"/>
    <w:rsid w:val="393161CD"/>
    <w:rsid w:val="39564004"/>
    <w:rsid w:val="3DF76577"/>
    <w:rsid w:val="410348AE"/>
    <w:rsid w:val="42AB0A76"/>
    <w:rsid w:val="43A31FC6"/>
    <w:rsid w:val="4A0505BA"/>
    <w:rsid w:val="4D6D3B30"/>
    <w:rsid w:val="4EDB6DDB"/>
    <w:rsid w:val="538E7A09"/>
    <w:rsid w:val="5466681A"/>
    <w:rsid w:val="55400262"/>
    <w:rsid w:val="56673959"/>
    <w:rsid w:val="571967B6"/>
    <w:rsid w:val="58190D0F"/>
    <w:rsid w:val="5B44427E"/>
    <w:rsid w:val="5BE638F4"/>
    <w:rsid w:val="5DBC76F5"/>
    <w:rsid w:val="60A833FA"/>
    <w:rsid w:val="616F62EE"/>
    <w:rsid w:val="63066039"/>
    <w:rsid w:val="658A33B2"/>
    <w:rsid w:val="68FA18B1"/>
    <w:rsid w:val="697C1EBA"/>
    <w:rsid w:val="69B87F88"/>
    <w:rsid w:val="6DA459AD"/>
    <w:rsid w:val="71243305"/>
    <w:rsid w:val="72145BFE"/>
    <w:rsid w:val="75BE0FAE"/>
    <w:rsid w:val="762712E3"/>
    <w:rsid w:val="76715505"/>
    <w:rsid w:val="782E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6">
    <w:name w:val="heading 2"/>
    <w:basedOn w:val="5"/>
    <w:next w:val="1"/>
    <w:link w:val="26"/>
    <w:unhideWhenUsed/>
    <w:qFormat/>
    <w:uiPriority w:val="9"/>
    <w:pPr>
      <w:keepNext/>
      <w:keepLines/>
      <w:spacing w:before="260" w:after="260" w:line="416" w:lineRule="auto"/>
      <w:outlineLvl w:val="1"/>
    </w:pPr>
    <w:rPr>
      <w:rFonts w:ascii="Cambria" w:hAnsi="Cambria"/>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首行缩进两字）"/>
    <w:basedOn w:val="1"/>
    <w:qFormat/>
    <w:uiPriority w:val="0"/>
    <w:rPr>
      <w:szCs w:val="21"/>
    </w:rPr>
  </w:style>
  <w:style w:type="paragraph" w:customStyle="1" w:styleId="4">
    <w:name w:val="样式 样式 样式 正文文本 + 首行缩进:  2 字符1 + 首行缩进:  2 字符1 + 首行缩进:  2 字符"/>
    <w:basedOn w:val="1"/>
    <w:qFormat/>
    <w:uiPriority w:val="0"/>
    <w:pPr>
      <w:autoSpaceDE w:val="0"/>
      <w:autoSpaceDN w:val="0"/>
      <w:adjustRightInd w:val="0"/>
      <w:spacing w:line="360" w:lineRule="auto"/>
      <w:ind w:firstLine="200" w:firstLineChars="200"/>
    </w:pPr>
    <w:rPr>
      <w:rFonts w:cs="宋体"/>
      <w:kern w:val="0"/>
      <w:sz w:val="28"/>
      <w:szCs w:val="20"/>
      <w:lang w:val="zh-CN"/>
    </w:rPr>
  </w:style>
  <w:style w:type="paragraph" w:styleId="7">
    <w:name w:val="Normal Indent"/>
    <w:basedOn w:val="1"/>
    <w:qFormat/>
    <w:uiPriority w:val="0"/>
    <w:pPr>
      <w:spacing w:line="312" w:lineRule="exact"/>
      <w:ind w:firstLine="420"/>
    </w:pPr>
    <w:rPr>
      <w:szCs w:val="20"/>
    </w:rPr>
  </w:style>
  <w:style w:type="paragraph" w:styleId="8">
    <w:name w:val="annotation text"/>
    <w:basedOn w:val="1"/>
    <w:link w:val="28"/>
    <w:unhideWhenUsed/>
    <w:qFormat/>
    <w:uiPriority w:val="0"/>
    <w:pPr>
      <w:jc w:val="left"/>
    </w:pPr>
    <w:rPr>
      <w:rFonts w:ascii="Times New Roman" w:hAnsi="Times New Roman" w:eastAsia="楷体_GB2312"/>
      <w:sz w:val="28"/>
      <w:szCs w:val="20"/>
    </w:rPr>
  </w:style>
  <w:style w:type="paragraph" w:styleId="9">
    <w:name w:val="Body Text Indent"/>
    <w:basedOn w:val="1"/>
    <w:link w:val="27"/>
    <w:unhideWhenUsed/>
    <w:qFormat/>
    <w:uiPriority w:val="0"/>
    <w:pPr>
      <w:spacing w:line="432" w:lineRule="auto"/>
      <w:ind w:left="420" w:hanging="420" w:hangingChars="175"/>
    </w:pPr>
    <w:rPr>
      <w:rFonts w:ascii="Times New Roman" w:hAnsi="Times New Roman"/>
      <w:sz w:val="24"/>
      <w:szCs w:val="24"/>
    </w:rPr>
  </w:style>
  <w:style w:type="paragraph" w:styleId="10">
    <w:name w:val="Plain Text"/>
    <w:basedOn w:val="1"/>
    <w:link w:val="38"/>
    <w:qFormat/>
    <w:uiPriority w:val="0"/>
    <w:rPr>
      <w:rFonts w:ascii="宋体" w:hAnsi="Courier New" w:cs="Courier New"/>
      <w:szCs w:val="21"/>
    </w:rPr>
  </w:style>
  <w:style w:type="paragraph" w:styleId="11">
    <w:name w:val="Body Text Indent 2"/>
    <w:basedOn w:val="1"/>
    <w:link w:val="30"/>
    <w:unhideWhenUsed/>
    <w:qFormat/>
    <w:uiPriority w:val="99"/>
    <w:pPr>
      <w:spacing w:after="120" w:line="480" w:lineRule="auto"/>
      <w:ind w:left="420" w:leftChars="200"/>
    </w:pPr>
  </w:style>
  <w:style w:type="paragraph" w:styleId="12">
    <w:name w:val="Balloon Text"/>
    <w:basedOn w:val="1"/>
    <w:link w:val="25"/>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4"/>
    <w:semiHidden/>
    <w:unhideWhenUsed/>
    <w:qFormat/>
    <w:uiPriority w:val="0"/>
    <w:pPr>
      <w:spacing w:after="120"/>
      <w:ind w:left="420" w:leftChars="200"/>
    </w:pPr>
    <w:rPr>
      <w:rFonts w:ascii="Times New Roman" w:hAnsi="Times New Roman" w:eastAsia="楷体_GB2312"/>
      <w:sz w:val="16"/>
      <w:szCs w:val="16"/>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8"/>
    <w:next w:val="8"/>
    <w:link w:val="29"/>
    <w:unhideWhenUsed/>
    <w:qFormat/>
    <w:uiPriority w:val="99"/>
    <w:rPr>
      <w:rFonts w:ascii="Calibri" w:hAnsi="Calibri" w:eastAsia="宋体"/>
      <w:b/>
      <w:bCs/>
      <w:sz w:val="21"/>
      <w:szCs w:val="2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0"/>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批注框文本 Char"/>
    <w:basedOn w:val="20"/>
    <w:link w:val="12"/>
    <w:semiHidden/>
    <w:qFormat/>
    <w:uiPriority w:val="99"/>
    <w:rPr>
      <w:sz w:val="18"/>
      <w:szCs w:val="18"/>
    </w:rPr>
  </w:style>
  <w:style w:type="character" w:customStyle="1" w:styleId="26">
    <w:name w:val="标题 2 Char"/>
    <w:basedOn w:val="20"/>
    <w:link w:val="6"/>
    <w:qFormat/>
    <w:uiPriority w:val="9"/>
    <w:rPr>
      <w:rFonts w:ascii="Cambria" w:hAnsi="Cambria" w:eastAsia="宋体" w:cs="Times New Roman"/>
      <w:b/>
      <w:bCs/>
      <w:kern w:val="2"/>
      <w:sz w:val="32"/>
      <w:szCs w:val="32"/>
    </w:rPr>
  </w:style>
  <w:style w:type="character" w:customStyle="1" w:styleId="27">
    <w:name w:val="正文文本缩进 Char"/>
    <w:basedOn w:val="20"/>
    <w:link w:val="9"/>
    <w:semiHidden/>
    <w:qFormat/>
    <w:uiPriority w:val="0"/>
    <w:rPr>
      <w:rFonts w:ascii="Times New Roman" w:hAnsi="Times New Roman"/>
      <w:kern w:val="2"/>
      <w:sz w:val="24"/>
      <w:szCs w:val="24"/>
    </w:rPr>
  </w:style>
  <w:style w:type="character" w:customStyle="1" w:styleId="28">
    <w:name w:val="批注文字 Char"/>
    <w:basedOn w:val="20"/>
    <w:link w:val="8"/>
    <w:semiHidden/>
    <w:qFormat/>
    <w:uiPriority w:val="0"/>
    <w:rPr>
      <w:rFonts w:ascii="Times New Roman" w:hAnsi="Times New Roman" w:eastAsia="楷体_GB2312"/>
      <w:kern w:val="2"/>
      <w:sz w:val="28"/>
    </w:rPr>
  </w:style>
  <w:style w:type="character" w:customStyle="1" w:styleId="29">
    <w:name w:val="批注主题 Char"/>
    <w:basedOn w:val="28"/>
    <w:link w:val="17"/>
    <w:semiHidden/>
    <w:qFormat/>
    <w:uiPriority w:val="99"/>
    <w:rPr>
      <w:rFonts w:ascii="Times New Roman" w:hAnsi="Times New Roman" w:eastAsia="楷体_GB2312"/>
      <w:b/>
      <w:bCs/>
      <w:kern w:val="2"/>
      <w:sz w:val="21"/>
      <w:szCs w:val="22"/>
    </w:rPr>
  </w:style>
  <w:style w:type="character" w:customStyle="1" w:styleId="30">
    <w:name w:val="正文文本缩进 2 Char"/>
    <w:basedOn w:val="20"/>
    <w:link w:val="11"/>
    <w:semiHidden/>
    <w:qFormat/>
    <w:uiPriority w:val="99"/>
    <w:rPr>
      <w:kern w:val="2"/>
      <w:sz w:val="21"/>
      <w:szCs w:val="22"/>
    </w:rPr>
  </w:style>
  <w:style w:type="paragraph" w:customStyle="1" w:styleId="31">
    <w:name w:val="列出段落1"/>
    <w:basedOn w:val="1"/>
    <w:qFormat/>
    <w:uiPriority w:val="34"/>
    <w:pPr>
      <w:ind w:firstLine="420" w:firstLineChars="200"/>
    </w:pPr>
  </w:style>
  <w:style w:type="paragraph" w:customStyle="1" w:styleId="32">
    <w:name w:val="修订1"/>
    <w:hidden/>
    <w:semiHidden/>
    <w:qFormat/>
    <w:uiPriority w:val="99"/>
    <w:rPr>
      <w:rFonts w:ascii="Calibri" w:hAnsi="Calibri" w:eastAsia="宋体" w:cs="Times New Roman"/>
      <w:kern w:val="2"/>
      <w:sz w:val="21"/>
      <w:szCs w:val="22"/>
      <w:lang w:val="en-US" w:eastAsia="zh-CN" w:bidi="ar-SA"/>
    </w:rPr>
  </w:style>
  <w:style w:type="character" w:customStyle="1" w:styleId="33">
    <w:name w:val="标题 1 Char"/>
    <w:basedOn w:val="20"/>
    <w:link w:val="5"/>
    <w:qFormat/>
    <w:uiPriority w:val="0"/>
    <w:rPr>
      <w:b/>
      <w:bCs/>
      <w:kern w:val="44"/>
      <w:sz w:val="44"/>
      <w:szCs w:val="44"/>
    </w:rPr>
  </w:style>
  <w:style w:type="character" w:customStyle="1" w:styleId="34">
    <w:name w:val="正文文本缩进 3 Char"/>
    <w:basedOn w:val="20"/>
    <w:link w:val="15"/>
    <w:semiHidden/>
    <w:qFormat/>
    <w:uiPriority w:val="0"/>
    <w:rPr>
      <w:rFonts w:ascii="Times New Roman" w:hAnsi="Times New Roman" w:eastAsia="楷体_GB2312"/>
      <w:kern w:val="2"/>
      <w:sz w:val="16"/>
      <w:szCs w:val="16"/>
    </w:rPr>
  </w:style>
  <w:style w:type="paragraph" w:customStyle="1" w:styleId="35">
    <w:name w:val="台头"/>
    <w:basedOn w:val="1"/>
    <w:qFormat/>
    <w:uiPriority w:val="0"/>
    <w:pPr>
      <w:autoSpaceDE w:val="0"/>
      <w:autoSpaceDN w:val="0"/>
      <w:adjustRightInd w:val="0"/>
      <w:spacing w:line="264" w:lineRule="auto"/>
      <w:textAlignment w:val="baseline"/>
    </w:pPr>
    <w:rPr>
      <w:rFonts w:ascii="Times New Roman" w:hAnsi="Times New Roman"/>
      <w:kern w:val="0"/>
      <w:sz w:val="28"/>
      <w:szCs w:val="20"/>
    </w:rPr>
  </w:style>
  <w:style w:type="paragraph" w:styleId="36">
    <w:name w:val="List Paragraph"/>
    <w:basedOn w:val="1"/>
    <w:qFormat/>
    <w:uiPriority w:val="0"/>
    <w:pPr>
      <w:ind w:firstLine="420" w:firstLineChars="200"/>
    </w:pPr>
  </w:style>
  <w:style w:type="character" w:customStyle="1" w:styleId="37">
    <w:name w:val="纯文本 Char"/>
    <w:basedOn w:val="20"/>
    <w:link w:val="10"/>
    <w:qFormat/>
    <w:uiPriority w:val="0"/>
    <w:rPr>
      <w:rFonts w:ascii="宋体" w:hAnsi="Courier New" w:cs="Courier New"/>
      <w:kern w:val="2"/>
      <w:sz w:val="21"/>
      <w:szCs w:val="21"/>
    </w:rPr>
  </w:style>
  <w:style w:type="character" w:customStyle="1" w:styleId="38">
    <w:name w:val="纯文本 Char1"/>
    <w:basedOn w:val="20"/>
    <w:link w:val="10"/>
    <w:qFormat/>
    <w:uiPriority w:val="0"/>
    <w:rPr>
      <w:rFonts w:ascii="宋体" w:hAnsi="Courier New" w:cs="Courier New"/>
      <w:kern w:val="2"/>
      <w:sz w:val="21"/>
      <w:szCs w:val="21"/>
    </w:rPr>
  </w:style>
  <w:style w:type="paragraph" w:customStyle="1" w:styleId="39">
    <w:name w:val="p0"/>
    <w:basedOn w:val="1"/>
    <w:qFormat/>
    <w:uiPriority w:val="0"/>
    <w:pPr>
      <w:widowControl/>
    </w:pPr>
    <w:rPr>
      <w:kern w:val="0"/>
      <w:szCs w:val="21"/>
    </w:rPr>
  </w:style>
  <w:style w:type="paragraph" w:customStyle="1" w:styleId="40">
    <w:name w:val="正文1"/>
    <w:basedOn w:val="1"/>
    <w:qFormat/>
    <w:uiPriority w:val="0"/>
    <w:pPr>
      <w:adjustRightInd w:val="0"/>
      <w:spacing w:line="360" w:lineRule="atLeast"/>
      <w:jc w:val="left"/>
      <w:textAlignment w:val="baseline"/>
    </w:pPr>
    <w:rPr>
      <w:rFonts w:ascii="宋体"/>
      <w:kern w:val="0"/>
      <w:sz w:val="24"/>
      <w:szCs w:val="20"/>
    </w:rPr>
  </w:style>
  <w:style w:type="paragraph" w:customStyle="1" w:styleId="41">
    <w:name w:val="修订2"/>
    <w:hidden/>
    <w:unhideWhenUsed/>
    <w:qFormat/>
    <w:uiPriority w:val="99"/>
    <w:rPr>
      <w:rFonts w:ascii="Calibri" w:hAnsi="Calibri" w:eastAsia="宋体" w:cs="Times New Roman"/>
      <w:kern w:val="2"/>
      <w:sz w:val="21"/>
      <w:szCs w:val="22"/>
      <w:lang w:val="en-US" w:eastAsia="zh-CN" w:bidi="ar-SA"/>
    </w:rPr>
  </w:style>
  <w:style w:type="paragraph" w:customStyle="1" w:styleId="42">
    <w:name w:val="样式1"/>
    <w:basedOn w:val="1"/>
    <w:qFormat/>
    <w:uiPriority w:val="0"/>
    <w:pPr>
      <w:adjustRightInd w:val="0"/>
      <w:spacing w:line="420" w:lineRule="auto"/>
      <w:jc w:val="center"/>
      <w:textAlignment w:val="baseline"/>
    </w:pPr>
    <w:rPr>
      <w:rFonts w:hAnsi="Times New Roman"/>
      <w:kern w:val="0"/>
      <w:szCs w:val="20"/>
    </w:rPr>
  </w:style>
  <w:style w:type="paragraph" w:customStyle="1" w:styleId="43">
    <w:name w:val="段落标题"/>
    <w:basedOn w:val="1"/>
    <w:qFormat/>
    <w:uiPriority w:val="0"/>
    <w:pPr>
      <w:tabs>
        <w:tab w:val="left" w:pos="1080"/>
      </w:tabs>
      <w:spacing w:line="360" w:lineRule="auto"/>
      <w:ind w:left="144" w:leftChars="60" w:firstLine="576" w:firstLineChars="240"/>
    </w:pPr>
    <w:rPr>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D7A89-9454-4FA2-87A9-0B35C64058DC}">
  <ds:schemaRefs/>
</ds:datastoreItem>
</file>

<file path=docProps/app.xml><?xml version="1.0" encoding="utf-8"?>
<Properties xmlns="http://schemas.openxmlformats.org/officeDocument/2006/extended-properties" xmlns:vt="http://schemas.openxmlformats.org/officeDocument/2006/docPropsVTypes">
  <Template>Normal</Template>
  <Company>Geely</Company>
  <Pages>30</Pages>
  <Words>3038</Words>
  <Characters>17323</Characters>
  <Lines>144</Lines>
  <Paragraphs>40</Paragraphs>
  <TotalTime>2</TotalTime>
  <ScaleCrop>false</ScaleCrop>
  <LinksUpToDate>false</LinksUpToDate>
  <CharactersWithSpaces>20321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2021-07-26T01:48:00Z</dcterms:created>
  <dc:creator>chenjingshuai</dc:creator>
  <cp:lastModifiedBy>陆祖仁</cp:lastModifiedBy>
  <cp:lastPrinted>2021-10-20T01:25:00Z</cp:lastPrinted>
  <dcterms:modified xsi:type="dcterms:W3CDTF">2023-06-21T01:43:42Z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BA28A9324FFF4618B8867C98F12C291B_13</vt:lpwstr>
  </property>
</Properties>
</file>