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color w:val="000000"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>广西德保百矿发电有限公司</w:t>
      </w:r>
      <w:r>
        <w:rPr>
          <w:rFonts w:hint="eastAsia" w:ascii="宋体" w:hAnsi="宋体" w:eastAsia="宋体" w:cs="宋体"/>
          <w:b/>
          <w:sz w:val="36"/>
          <w:szCs w:val="36"/>
        </w:rPr>
        <w:t>202</w:t>
      </w: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>3</w:t>
      </w:r>
      <w:r>
        <w:rPr>
          <w:rFonts w:hint="eastAsia" w:ascii="宋体" w:hAnsi="宋体" w:eastAsia="宋体" w:cs="宋体"/>
          <w:b/>
          <w:sz w:val="36"/>
          <w:szCs w:val="36"/>
        </w:rPr>
        <w:t>年</w:t>
      </w:r>
      <w:r>
        <w:rPr>
          <w:rFonts w:hint="eastAsia" w:ascii="宋体" w:hAnsi="宋体" w:eastAsia="宋体" w:cs="宋体"/>
          <w:b/>
          <w:sz w:val="36"/>
          <w:szCs w:val="36"/>
          <w:lang w:eastAsia="zh-CN"/>
        </w:rPr>
        <w:t>药品、水样送检技术规范书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bookmarkStart w:id="0" w:name="_Toc438716170"/>
      <w:bookmarkStart w:id="1" w:name="_Toc438717835"/>
      <w:bookmarkStart w:id="2" w:name="_Toc395187871"/>
      <w:bookmarkStart w:id="3" w:name="_Toc438716982"/>
      <w:bookmarkStart w:id="4" w:name="_Toc339555574"/>
    </w:p>
    <w:p>
      <w:pPr>
        <w:pStyle w:val="2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420" w:firstLine="482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bookmarkStart w:id="5" w:name="_Toc438718985"/>
      <w:bookmarkStart w:id="6" w:name="_Toc438731097"/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一、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工作范围</w:t>
      </w:r>
    </w:p>
    <w:p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1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服务项目：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广西百色银海发电有限公司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2023年药品、水样送检项目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。</w:t>
      </w:r>
    </w:p>
    <w:p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服务范围：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检测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服务清单详见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附件（子项目清单）。</w:t>
      </w:r>
    </w:p>
    <w:p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3、服务周期：2023年6月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日至2024年6月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29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日。</w:t>
      </w:r>
    </w:p>
    <w:p>
      <w:pPr>
        <w:pStyle w:val="3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firstLine="482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二、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资质及职责</w:t>
      </w:r>
    </w:p>
    <w:p>
      <w:pPr>
        <w:pStyle w:val="3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firstLine="482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1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乙方资质</w:t>
      </w:r>
      <w:bookmarkStart w:id="7" w:name="_GoBack"/>
      <w:bookmarkEnd w:id="7"/>
    </w:p>
    <w:p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1.1通过CMA计量认证或CNAS实验室认可；近三年有不少于5个超临界机组及以上样品检测业绩。</w:t>
      </w:r>
    </w:p>
    <w:p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1.2应有足够的、经检验合格、有效的用于药品检测的设备和仪器。</w:t>
      </w:r>
    </w:p>
    <w:p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1.3参与检测的人员应持有相应资格证书。 </w:t>
      </w:r>
    </w:p>
    <w:p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1.4 在投标文件中提供上述资质证明文件。</w:t>
      </w:r>
    </w:p>
    <w:p>
      <w:pPr>
        <w:pStyle w:val="3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firstLine="482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乙方责任</w:t>
      </w:r>
    </w:p>
    <w:p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kern w:val="0"/>
          <w:sz w:val="24"/>
          <w:szCs w:val="24"/>
        </w:rPr>
        <w:t>1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应确保在服务期限内其企业及人员的相关资质满足要求。</w:t>
      </w:r>
    </w:p>
    <w:p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kern w:val="0"/>
          <w:sz w:val="24"/>
          <w:szCs w:val="24"/>
        </w:rPr>
        <w:t>2根据甲方需要，认真贯彻执行国家、行业和甲方有关检验检测的政策、规程、标准、制度；</w:t>
      </w:r>
    </w:p>
    <w:p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.3 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收到甲方送检样品1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日内出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具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检测报告</w:t>
      </w:r>
      <w:r>
        <w:rPr>
          <w:rFonts w:hint="eastAsia" w:ascii="宋体" w:hAnsi="宋体" w:eastAsia="宋体" w:cs="宋体"/>
          <w:kern w:val="0"/>
          <w:sz w:val="24"/>
          <w:szCs w:val="24"/>
        </w:rPr>
        <w:t>，对分析结果的准确性负责，并出具检定证书。</w:t>
      </w:r>
    </w:p>
    <w:p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.4 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乙方出具的检测结果应可作为向社会出具公正的数据。</w:t>
      </w:r>
    </w:p>
    <w:p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</w:rPr>
        <w:t>.5 乙方应承诺对甲方信息、提供的实物和技术资料保密。</w:t>
      </w:r>
    </w:p>
    <w:bookmarkEnd w:id="0"/>
    <w:bookmarkEnd w:id="1"/>
    <w:bookmarkEnd w:id="2"/>
    <w:bookmarkEnd w:id="3"/>
    <w:bookmarkEnd w:id="4"/>
    <w:bookmarkEnd w:id="5"/>
    <w:bookmarkEnd w:id="6"/>
    <w:p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附件：子项目报价清单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7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938"/>
        <w:gridCol w:w="1536"/>
        <w:gridCol w:w="793"/>
        <w:gridCol w:w="793"/>
        <w:gridCol w:w="936"/>
        <w:gridCol w:w="1107"/>
        <w:gridCol w:w="19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500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广西德保百矿发电有限公司2023年药品、水样送检项目子项目清单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药品名称</w:t>
            </w:r>
          </w:p>
        </w:tc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6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含税小计（元）</w:t>
            </w:r>
          </w:p>
        </w:tc>
        <w:tc>
          <w:tcPr>
            <w:tcW w:w="1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9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阻垢剂</w:t>
            </w:r>
          </w:p>
        </w:tc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PH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阻垢剂一年用量约160吨，因场地受限，需要分8批药品进厂，每批进厂药品都需要送检。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磷酸盐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亚磷酸盐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正磷酸盐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固体含量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密度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9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氧化性杀菌灭藻剂</w:t>
            </w:r>
          </w:p>
        </w:tc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有效氯含量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氧化性杀菌灭藻剂一年用量约9吨，因场地受限，分两批进厂，每批进厂药品都需要送检。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水份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1%溶液PH值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9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非氧化性杀菌灭藻剂</w:t>
            </w:r>
          </w:p>
        </w:tc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活性物含量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非氧化性杀菌灭藻剂一年用量约11吨，因场地受限，分两批进厂，每批进厂药品都需要送检。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密度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1%溶液PH值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9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#1、#2炉过热蒸汽</w:t>
            </w:r>
          </w:p>
        </w:tc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二氧化硅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每年一次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钠离子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氯离子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59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#1、#2炉给水</w:t>
            </w:r>
          </w:p>
        </w:tc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PH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每年一次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二氧化硅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钠离子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氯离子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9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#1、#2冷却塔水样</w:t>
            </w:r>
          </w:p>
        </w:tc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全碱度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半年一次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硬度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碳酸钙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电导率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PH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总Cl-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余氯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总磷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Fe离子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59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原水全分析</w:t>
            </w:r>
          </w:p>
        </w:tc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氯离子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半年一次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PH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钙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硬度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总磷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全碱度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Fe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电导率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水垢样</w:t>
            </w:r>
          </w:p>
        </w:tc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成分分析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半年一次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循环水药剂阻垢率分析</w:t>
            </w:r>
          </w:p>
        </w:tc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以钙离子浓度计，mg/L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需添加阻垢剂前，阻垢剂后，进行数据对比，检测一次需要8个样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6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1"/>
          <w:szCs w:val="21"/>
          <w:u w:val="none"/>
          <w:lang w:val="en-US" w:eastAsia="zh-CN" w:bidi="ar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E407A7"/>
    <w:multiLevelType w:val="multilevel"/>
    <w:tmpl w:val="62E407A7"/>
    <w:lvl w:ilvl="0" w:tentative="0">
      <w:start w:val="1"/>
      <w:numFmt w:val="decimal"/>
      <w:pStyle w:val="2"/>
      <w:lvlText w:val="%1."/>
      <w:lvlJc w:val="left"/>
      <w:pPr>
        <w:tabs>
          <w:tab w:val="left" w:pos="704"/>
        </w:tabs>
        <w:ind w:left="704" w:hanging="420"/>
      </w:pPr>
      <w:rPr>
        <w:rFonts w:cs="Times New Roman"/>
      </w:rPr>
    </w:lvl>
    <w:lvl w:ilvl="1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5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6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7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8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xNDc0NDE5NjE1YWFmMWRjOGFhNzA2OTYzNzZmNTAifQ=="/>
  </w:docVars>
  <w:rsids>
    <w:rsidRoot w:val="00000000"/>
    <w:rsid w:val="01277F6A"/>
    <w:rsid w:val="035F1180"/>
    <w:rsid w:val="03F42F17"/>
    <w:rsid w:val="043A51F7"/>
    <w:rsid w:val="04DF5F2E"/>
    <w:rsid w:val="06855834"/>
    <w:rsid w:val="09A60501"/>
    <w:rsid w:val="09CD7577"/>
    <w:rsid w:val="0C072435"/>
    <w:rsid w:val="132D5535"/>
    <w:rsid w:val="18EA7F9D"/>
    <w:rsid w:val="19E93994"/>
    <w:rsid w:val="1B44269B"/>
    <w:rsid w:val="1B8E21CD"/>
    <w:rsid w:val="1BC12168"/>
    <w:rsid w:val="1CC452C4"/>
    <w:rsid w:val="1D0E4BF9"/>
    <w:rsid w:val="1F5970EE"/>
    <w:rsid w:val="1F854743"/>
    <w:rsid w:val="20315D5E"/>
    <w:rsid w:val="25214201"/>
    <w:rsid w:val="26B7404A"/>
    <w:rsid w:val="270D63E8"/>
    <w:rsid w:val="278B4A30"/>
    <w:rsid w:val="2A4A00D5"/>
    <w:rsid w:val="2FF51A6D"/>
    <w:rsid w:val="370B22E4"/>
    <w:rsid w:val="37284F64"/>
    <w:rsid w:val="38B46DF8"/>
    <w:rsid w:val="39407025"/>
    <w:rsid w:val="399C0D96"/>
    <w:rsid w:val="3FD8029B"/>
    <w:rsid w:val="443E114C"/>
    <w:rsid w:val="48C51197"/>
    <w:rsid w:val="49355FD2"/>
    <w:rsid w:val="4A4C6ED9"/>
    <w:rsid w:val="4D877608"/>
    <w:rsid w:val="4EB94960"/>
    <w:rsid w:val="4F3C5104"/>
    <w:rsid w:val="50813D81"/>
    <w:rsid w:val="50F96FFC"/>
    <w:rsid w:val="526A7E9A"/>
    <w:rsid w:val="56850319"/>
    <w:rsid w:val="57C068B2"/>
    <w:rsid w:val="5AAA6C6B"/>
    <w:rsid w:val="6146041F"/>
    <w:rsid w:val="614A70FF"/>
    <w:rsid w:val="615F28B2"/>
    <w:rsid w:val="6166625C"/>
    <w:rsid w:val="63741A62"/>
    <w:rsid w:val="683A49CE"/>
    <w:rsid w:val="693412D7"/>
    <w:rsid w:val="7043483D"/>
    <w:rsid w:val="711A462C"/>
    <w:rsid w:val="7C5B3C24"/>
    <w:rsid w:val="7EB53269"/>
    <w:rsid w:val="7EE3457A"/>
    <w:rsid w:val="7FB17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360" w:after="120"/>
      <w:jc w:val="left"/>
      <w:outlineLvl w:val="0"/>
    </w:pPr>
    <w:rPr>
      <w:rFonts w:ascii="Arial" w:hAnsi="Arial"/>
      <w:b/>
      <w:caps/>
      <w:sz w:val="24"/>
      <w:szCs w:val="20"/>
    </w:rPr>
  </w:style>
  <w:style w:type="paragraph" w:styleId="3">
    <w:name w:val="heading 2"/>
    <w:basedOn w:val="1"/>
    <w:next w:val="4"/>
    <w:qFormat/>
    <w:uiPriority w:val="0"/>
    <w:pPr>
      <w:keepNext/>
      <w:spacing w:before="240" w:after="120"/>
      <w:ind w:left="454"/>
      <w:jc w:val="left"/>
      <w:outlineLvl w:val="1"/>
    </w:pPr>
    <w:rPr>
      <w:rFonts w:ascii="Arial" w:hAnsi="Arial"/>
      <w:b/>
      <w:sz w:val="28"/>
      <w:szCs w:val="20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adjustRightInd w:val="0"/>
      <w:spacing w:line="410" w:lineRule="atLeast"/>
      <w:ind w:firstLine="420"/>
      <w:jc w:val="left"/>
      <w:textAlignment w:val="baseline"/>
    </w:pPr>
    <w:rPr>
      <w:rFonts w:ascii="宋体"/>
      <w:kern w:val="0"/>
      <w:sz w:val="24"/>
      <w:szCs w:val="20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font01"/>
    <w:basedOn w:val="9"/>
    <w:qFormat/>
    <w:uiPriority w:val="0"/>
    <w:rPr>
      <w:rFonts w:ascii="Calibri" w:hAnsi="Calibri" w:cs="Calibri"/>
      <w:color w:val="000000"/>
      <w:sz w:val="28"/>
      <w:szCs w:val="28"/>
      <w:u w:val="none"/>
    </w:rPr>
  </w:style>
  <w:style w:type="character" w:customStyle="1" w:styleId="11">
    <w:name w:val="font2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</w:pPr>
    <w:rPr>
      <w:rFonts w:hint="eastAsia" w:ascii="宋体" w:hAnsi="宋体" w:eastAsia="宋体" w:cs="Times New Roman"/>
      <w:color w:val="000000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888</Words>
  <Characters>948</Characters>
  <Lines>0</Lines>
  <Paragraphs>0</Paragraphs>
  <TotalTime>23</TotalTime>
  <ScaleCrop>false</ScaleCrop>
  <LinksUpToDate>false</LinksUpToDate>
  <CharactersWithSpaces>954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2020-08-27T03:57:00Z</dcterms:created>
  <dc:creator>dell</dc:creator>
  <cp:lastModifiedBy>四夕羅</cp:lastModifiedBy>
  <dcterms:modified xsi:type="dcterms:W3CDTF">2023-06-25T01:09:12Z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A2763E92AE05480387E7DF92FE455B5A_13</vt:lpwstr>
  </property>
</Properties>
</file>