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广西百色银海发电有限公司</w:t>
      </w: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药品、水样送检技术规范书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0" w:name="_Toc438716170"/>
      <w:bookmarkStart w:id="1" w:name="_Toc395187871"/>
      <w:bookmarkStart w:id="2" w:name="_Toc438716982"/>
      <w:bookmarkStart w:id="3" w:name="_Toc339555574"/>
      <w:bookmarkStart w:id="4" w:name="_Toc438717835"/>
    </w:p>
    <w:p>
      <w:pPr>
        <w:pStyle w:val="2"/>
        <w:numPr>
          <w:ilvl w:val="0"/>
          <w:numId w:val="0"/>
        </w:numPr>
        <w:spacing w:before="0" w:after="0" w:line="360" w:lineRule="auto"/>
        <w:ind w:left="420" w:hanging="420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5" w:name="_Toc438731097"/>
      <w:bookmarkStart w:id="6" w:name="_Toc438718985"/>
      <w:r>
        <w:rPr>
          <w:rFonts w:hint="eastAsia" w:ascii="宋体" w:hAnsi="宋体" w:eastAsia="宋体" w:cs="宋体"/>
          <w:color w:val="000000"/>
          <w:sz w:val="24"/>
          <w:szCs w:val="24"/>
        </w:rPr>
        <w:t>工作范围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服务项目：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广西百色银海发电有限公司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2023年药品、水样送检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服务范围：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检测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服务清单详见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附件（子项目清单）。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3、服务周期：2023年6月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日至2024年6月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日。</w:t>
      </w:r>
    </w:p>
    <w:p>
      <w:pPr>
        <w:pStyle w:val="3"/>
        <w:spacing w:before="0" w:after="0" w:line="360" w:lineRule="auto"/>
        <w:ind w:lef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资质及职责</w:t>
      </w:r>
    </w:p>
    <w:p>
      <w:pPr>
        <w:pStyle w:val="3"/>
        <w:spacing w:before="0" w:after="0" w:line="360" w:lineRule="auto"/>
        <w:ind w:lef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乙方资质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1.1通过CMA计量认证或CNAS实验室认可；近三年有不少于5个超临界机组及以上样品检测业绩。</w:t>
      </w:r>
      <w:bookmarkStart w:id="7" w:name="_GoBack"/>
      <w:bookmarkEnd w:id="7"/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1.2应有足够的、经检验合格、有效的用于药品检测的设备和仪器。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1.3参与检测的人员应持有相应资格证书。 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1.4 在投标文件中提供上述资质证明文件。</w:t>
      </w:r>
    </w:p>
    <w:p>
      <w:pPr>
        <w:pStyle w:val="3"/>
        <w:spacing w:before="0" w:after="0" w:line="360" w:lineRule="auto"/>
        <w:ind w:left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乙方责任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应确保在服务期限内其企业及人员的相关资质满足要求。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kern w:val="0"/>
          <w:sz w:val="24"/>
          <w:szCs w:val="24"/>
        </w:rPr>
        <w:t>2根据甲方需要，认真贯彻执行国家、行业和甲方有关检验检测的政策、规程、标准、制度；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.3 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收到甲方送检样品1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日内出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具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检测报告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，对分析结果的准确性负责，并出具检定证书。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.4 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乙方出具的检测结果应可作为向社会出具公正的数据。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.5 乙方应承诺对甲方信息、提供的实物和技术资料保密。</w:t>
      </w:r>
    </w:p>
    <w:bookmarkEnd w:id="0"/>
    <w:bookmarkEnd w:id="1"/>
    <w:bookmarkEnd w:id="2"/>
    <w:bookmarkEnd w:id="3"/>
    <w:bookmarkEnd w:id="4"/>
    <w:bookmarkEnd w:id="5"/>
    <w:bookmarkEnd w:id="6"/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附件：子项目报价清单</w:t>
      </w:r>
    </w:p>
    <w:p>
      <w:pPr>
        <w:rPr>
          <w:sz w:val="24"/>
          <w:szCs w:val="24"/>
        </w:rPr>
      </w:pPr>
    </w:p>
    <w:tbl>
      <w:tblPr>
        <w:tblStyle w:val="7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176"/>
        <w:gridCol w:w="1536"/>
        <w:gridCol w:w="696"/>
        <w:gridCol w:w="696"/>
        <w:gridCol w:w="936"/>
        <w:gridCol w:w="936"/>
        <w:gridCol w:w="18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广西百色银海发电有限公司2023年药品、水样送检项目子项目清单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药品名称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含税小计（元）</w:t>
            </w:r>
          </w:p>
        </w:tc>
        <w:tc>
          <w:tcPr>
            <w:tcW w:w="1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阻垢剂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阻垢剂一年用量约80吨，因场地受限，需要分4批药品进厂，每批进厂药品都需要送检。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磷酸盐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亚磷酸盐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正磷酸盐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固体含量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密度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氧化性杀菌灭藻剂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有效氯含量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氧化性杀菌灭藻剂一年用量约12吨，因场地受限，分两批进厂，每批进厂药品都需要送检。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水份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1%溶液PH值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非氧化性杀菌灭藻剂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活性物含量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非氧化性杀菌灭藻剂一年用量约20吨，因场地受限，分两批进厂，每批进厂药品都需要送检。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密度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1%溶液PH值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#1、#2炉炉水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锅检要求，每年至少送检一次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氯离子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磷酸根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硅酸根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电导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#1、#2炉给水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锅检要求，每年至少送检一次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硅酸根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钠离子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#1、#2炉饱和蒸汽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锅检要求，每年至少送检一次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硅酸根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钠离子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#1、#2炉过热蒸汽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锅检要求，每年至少送检一次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硅酸根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钠离子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#1、#2冷却塔水样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全碱度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半年一次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硬度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碳酸钙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电导率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总Cl-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余氯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总磷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Fe离子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水垢样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成分分析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半年一次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循环水药剂阻垢率分析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以钙离子浓度计，mg/L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需添加阻垢剂前，阻垢剂后，进行数据对比，检测一次需要8个样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305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E407A7"/>
    <w:multiLevelType w:val="multilevel"/>
    <w:tmpl w:val="62E407A7"/>
    <w:lvl w:ilvl="0" w:tentative="0">
      <w:start w:val="1"/>
      <w:numFmt w:val="decimal"/>
      <w:pStyle w:val="2"/>
      <w:lvlText w:val="%1."/>
      <w:lvlJc w:val="left"/>
      <w:pPr>
        <w:tabs>
          <w:tab w:val="left" w:pos="704"/>
        </w:tabs>
        <w:ind w:left="704" w:hanging="420"/>
      </w:pPr>
      <w:rPr>
        <w:rFonts w:cs="Times New Roman"/>
      </w:rPr>
    </w:lvl>
    <w:lvl w:ilvl="1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xNDc0NDE5NjE1YWFmMWRjOGFhNzA2OTYzNzZmNTAifQ=="/>
  </w:docVars>
  <w:rsids>
    <w:rsidRoot w:val="00000000"/>
    <w:rsid w:val="035F1180"/>
    <w:rsid w:val="03F42F17"/>
    <w:rsid w:val="043A51F7"/>
    <w:rsid w:val="06855834"/>
    <w:rsid w:val="09A60501"/>
    <w:rsid w:val="10B31F14"/>
    <w:rsid w:val="132D5535"/>
    <w:rsid w:val="168F30D0"/>
    <w:rsid w:val="18EA7F9D"/>
    <w:rsid w:val="192E4FD6"/>
    <w:rsid w:val="19E93994"/>
    <w:rsid w:val="1B44269B"/>
    <w:rsid w:val="1B8E21CD"/>
    <w:rsid w:val="1CC452C4"/>
    <w:rsid w:val="1D0E4BF9"/>
    <w:rsid w:val="1F5970EE"/>
    <w:rsid w:val="20315D5E"/>
    <w:rsid w:val="26B7404A"/>
    <w:rsid w:val="270D63E8"/>
    <w:rsid w:val="278B4A30"/>
    <w:rsid w:val="2A4A00D5"/>
    <w:rsid w:val="2DF76C1F"/>
    <w:rsid w:val="2FF51A6D"/>
    <w:rsid w:val="308B4CBC"/>
    <w:rsid w:val="37284F64"/>
    <w:rsid w:val="38B46DF8"/>
    <w:rsid w:val="38FC0DE6"/>
    <w:rsid w:val="39407025"/>
    <w:rsid w:val="399C0D96"/>
    <w:rsid w:val="3D997A67"/>
    <w:rsid w:val="3DF75094"/>
    <w:rsid w:val="3FD8029B"/>
    <w:rsid w:val="443E114C"/>
    <w:rsid w:val="48C51197"/>
    <w:rsid w:val="49355FD2"/>
    <w:rsid w:val="4D877608"/>
    <w:rsid w:val="4EB94960"/>
    <w:rsid w:val="4F3C5104"/>
    <w:rsid w:val="50813D81"/>
    <w:rsid w:val="526A7E9A"/>
    <w:rsid w:val="56850319"/>
    <w:rsid w:val="57C068B2"/>
    <w:rsid w:val="5AAA6C6B"/>
    <w:rsid w:val="6146041F"/>
    <w:rsid w:val="614A70FF"/>
    <w:rsid w:val="615F28B2"/>
    <w:rsid w:val="6166625C"/>
    <w:rsid w:val="623F4560"/>
    <w:rsid w:val="63741A62"/>
    <w:rsid w:val="6657743C"/>
    <w:rsid w:val="683A49CE"/>
    <w:rsid w:val="693412D7"/>
    <w:rsid w:val="7043483D"/>
    <w:rsid w:val="711A462C"/>
    <w:rsid w:val="7C5B3C24"/>
    <w:rsid w:val="7EB53269"/>
    <w:rsid w:val="7EE3457A"/>
    <w:rsid w:val="7FB1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360" w:after="120"/>
      <w:jc w:val="left"/>
      <w:outlineLvl w:val="0"/>
    </w:pPr>
    <w:rPr>
      <w:rFonts w:ascii="Arial" w:hAnsi="Arial"/>
      <w:b/>
      <w:caps/>
      <w:sz w:val="24"/>
      <w:szCs w:val="20"/>
    </w:rPr>
  </w:style>
  <w:style w:type="paragraph" w:styleId="3">
    <w:name w:val="heading 2"/>
    <w:basedOn w:val="1"/>
    <w:next w:val="4"/>
    <w:qFormat/>
    <w:uiPriority w:val="0"/>
    <w:pPr>
      <w:keepNext/>
      <w:spacing w:before="240" w:after="120"/>
      <w:ind w:left="454"/>
      <w:jc w:val="left"/>
      <w:outlineLvl w:val="1"/>
    </w:pPr>
    <w:rPr>
      <w:rFonts w:ascii="Arial" w:hAnsi="Arial"/>
      <w:b/>
      <w:sz w:val="28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djustRightInd w:val="0"/>
      <w:spacing w:line="410" w:lineRule="atLeast"/>
      <w:ind w:firstLine="420"/>
      <w:jc w:val="left"/>
      <w:textAlignment w:val="baseline"/>
    </w:pPr>
    <w:rPr>
      <w:rFonts w:ascii="宋体"/>
      <w:kern w:val="0"/>
      <w:sz w:val="24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01"/>
    <w:basedOn w:val="9"/>
    <w:qFormat/>
    <w:uiPriority w:val="0"/>
    <w:rPr>
      <w:rFonts w:ascii="Calibri" w:hAnsi="Calibri" w:cs="Calibri"/>
      <w:color w:val="000000"/>
      <w:sz w:val="28"/>
      <w:szCs w:val="28"/>
      <w:u w:val="none"/>
    </w:rPr>
  </w:style>
  <w:style w:type="character" w:customStyle="1" w:styleId="11">
    <w:name w:val="font2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921</Words>
  <Characters>992</Characters>
  <Lines>0</Lines>
  <Paragraphs>0</Paragraphs>
  <TotalTime>3</TotalTime>
  <ScaleCrop>false</ScaleCrop>
  <LinksUpToDate>false</LinksUpToDate>
  <CharactersWithSpaces>997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2020-08-27T03:57:00Z</dcterms:created>
  <dc:creator>dell</dc:creator>
  <cp:lastModifiedBy>四夕羅</cp:lastModifiedBy>
  <dcterms:modified xsi:type="dcterms:W3CDTF">2023-06-25T03:02:24Z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5E51471362964DDAAB642735F97E445E_12</vt:lpwstr>
  </property>
</Properties>
</file>