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Times New Roman"/>
          <w:b/>
          <w:bCs w:val="0"/>
          <w:sz w:val="32"/>
          <w:szCs w:val="32"/>
          <w:lang w:val="en-US" w:eastAsia="zh-CN"/>
        </w:rPr>
      </w:pPr>
      <w:r>
        <w:rPr>
          <w:rFonts w:hint="eastAsia" w:ascii="微软雅黑" w:hAnsi="微软雅黑" w:eastAsia="微软雅黑" w:cs="微软雅黑"/>
          <w:b/>
          <w:bCs w:val="0"/>
          <w:sz w:val="32"/>
          <w:szCs w:val="32"/>
          <w:lang w:val="en-US" w:eastAsia="zh-CN"/>
        </w:rPr>
        <w:t>广西百矿新材料技术有限公司2023年铝轮毂涂装工序油漆采购项目邀请书</w:t>
      </w:r>
    </w:p>
    <w:p>
      <w:pPr>
        <w:pStyle w:val="2"/>
        <w:rPr>
          <w:rFonts w:hint="eastAsia"/>
          <w:lang w:val="en-US"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采购类别：辅料类（注：新用户时请选择此类别，否则无法报名）</w:t>
      </w:r>
    </w:p>
    <w:p>
      <w:pPr>
        <w:pStyle w:val="31"/>
        <w:rPr>
          <w:rFonts w:eastAsia="宋体" w:cs="Times New Roman"/>
          <w:b/>
          <w:sz w:val="24"/>
          <w:szCs w:val="24"/>
        </w:rPr>
      </w:pPr>
      <w:bookmarkStart w:id="0" w:name="_Toc33189455"/>
      <w:r>
        <w:rPr>
          <w:rFonts w:eastAsia="宋体" w:cs="Times New Roman"/>
          <w:b/>
          <w:sz w:val="24"/>
          <w:szCs w:val="24"/>
        </w:rPr>
        <w:t xml:space="preserve">1. </w:t>
      </w:r>
      <w:r>
        <w:rPr>
          <w:rFonts w:hint="eastAsia" w:eastAsia="宋体" w:cs="Times New Roman"/>
          <w:b/>
          <w:sz w:val="24"/>
          <w:szCs w:val="24"/>
          <w:lang w:val="en-US" w:eastAsia="zh-CN"/>
        </w:rPr>
        <w:t>采购项目</w:t>
      </w:r>
      <w:r>
        <w:rPr>
          <w:rFonts w:eastAsia="宋体" w:cs="Times New Roman"/>
          <w:b/>
          <w:sz w:val="24"/>
          <w:szCs w:val="24"/>
        </w:rPr>
        <w:t>条件</w:t>
      </w:r>
      <w:bookmarkEnd w:id="0"/>
    </w:p>
    <w:p>
      <w:pPr>
        <w:spacing w:line="400" w:lineRule="exact"/>
        <w:rPr>
          <w:rFonts w:ascii="Times New Roman" w:hAnsi="Times New Roman" w:eastAsia="宋体" w:cs="Times New Roman"/>
          <w:b/>
          <w:bCs w:val="0"/>
          <w:kern w:val="2"/>
          <w:sz w:val="24"/>
          <w:szCs w:val="24"/>
          <w:u w:val="single"/>
          <w:lang w:val="en-US" w:eastAsia="zh-CN" w:bidi="ar-SA"/>
        </w:rPr>
      </w:pPr>
      <w:r>
        <w:rPr>
          <w:rFonts w:ascii="Times New Roman" w:hAnsi="Times New Roman" w:eastAsia="宋体" w:cs="Times New Roman"/>
          <w:b/>
          <w:bCs w:val="0"/>
          <w:kern w:val="2"/>
          <w:sz w:val="24"/>
          <w:szCs w:val="24"/>
          <w:lang w:val="en-US" w:eastAsia="zh-CN" w:bidi="ar-SA"/>
        </w:rPr>
        <w:t xml:space="preserve"> </w:t>
      </w:r>
      <w:r>
        <w:rPr>
          <w:rFonts w:hint="eastAsia" w:ascii="Times New Roman" w:hAnsi="Times New Roman" w:eastAsia="宋体" w:cs="Times New Roman"/>
          <w:b/>
          <w:bCs w:val="0"/>
          <w:kern w:val="2"/>
          <w:sz w:val="24"/>
          <w:szCs w:val="24"/>
          <w:u w:val="single"/>
          <w:lang w:val="en-US" w:eastAsia="zh-CN" w:bidi="ar-SA"/>
        </w:rPr>
        <w:t>各材料供应商</w:t>
      </w:r>
      <w:r>
        <w:rPr>
          <w:rFonts w:ascii="Times New Roman" w:hAnsi="Times New Roman" w:eastAsia="宋体" w:cs="Times New Roman"/>
          <w:b/>
          <w:bCs w:val="0"/>
          <w:kern w:val="2"/>
          <w:sz w:val="24"/>
          <w:szCs w:val="24"/>
          <w:u w:val="single"/>
          <w:lang w:val="en-US" w:eastAsia="zh-CN" w:bidi="ar-SA"/>
        </w:rPr>
        <w:t>：</w:t>
      </w:r>
    </w:p>
    <w:p>
      <w:pPr>
        <w:numPr>
          <w:ilvl w:val="0"/>
          <w:numId w:val="0"/>
        </w:numPr>
        <w:spacing w:line="440" w:lineRule="exact"/>
        <w:ind w:firstLine="480" w:firstLineChars="200"/>
        <w:rPr>
          <w:rFonts w:hint="eastAsia" w:ascii="宋体" w:hAnsi="宋体"/>
          <w:sz w:val="24"/>
          <w:szCs w:val="24"/>
          <w:lang w:val="en-US" w:eastAsia="zh-CN"/>
        </w:rPr>
      </w:pPr>
      <w:r>
        <w:rPr>
          <w:rFonts w:hint="eastAsia" w:ascii="宋体" w:hAnsi="宋体"/>
          <w:sz w:val="24"/>
          <w:szCs w:val="24"/>
          <w:u w:val="single"/>
          <w:lang w:val="en-US" w:eastAsia="zh-CN"/>
        </w:rPr>
        <w:t>广西百矿新材料技术有限公司2023年涂装工序油漆采购项目</w:t>
      </w:r>
      <w:r>
        <w:rPr>
          <w:rFonts w:hint="eastAsia" w:ascii="宋体" w:hAnsi="宋体"/>
          <w:sz w:val="24"/>
          <w:szCs w:val="24"/>
          <w:u w:val="none"/>
          <w:lang w:val="en-US" w:eastAsia="zh-CN"/>
        </w:rPr>
        <w:t>已具</w:t>
      </w:r>
      <w:r>
        <w:rPr>
          <w:rFonts w:hint="eastAsia" w:ascii="宋体" w:hAnsi="宋体"/>
          <w:sz w:val="24"/>
          <w:szCs w:val="24"/>
          <w:lang w:val="en-US" w:eastAsia="zh-CN"/>
        </w:rPr>
        <w:t>备采购条件，现邀请贵司参与本项目报单。</w:t>
      </w:r>
    </w:p>
    <w:p>
      <w:pPr>
        <w:pStyle w:val="2"/>
        <w:rPr>
          <w:rFonts w:hint="eastAsia" w:ascii="宋体" w:hAnsi="宋体" w:eastAsiaTheme="minorEastAsia" w:cstheme="minorBidi"/>
          <w:color w:val="auto"/>
          <w:kern w:val="2"/>
          <w:sz w:val="24"/>
          <w:szCs w:val="24"/>
          <w:u w:val="single"/>
          <w:lang w:val="en-US" w:eastAsia="zh-CN" w:bidi="ar-SA"/>
        </w:rPr>
      </w:pPr>
      <w:r>
        <w:rPr>
          <w:rFonts w:hint="eastAsia" w:ascii="宋体" w:hAnsi="宋体" w:eastAsiaTheme="minorEastAsia" w:cstheme="minorBidi"/>
          <w:color w:val="auto"/>
          <w:kern w:val="2"/>
          <w:sz w:val="24"/>
          <w:szCs w:val="24"/>
          <w:u w:val="none"/>
          <w:lang w:val="en-US" w:eastAsia="zh-CN" w:bidi="ar-SA"/>
        </w:rPr>
        <w:t>招标人：</w:t>
      </w:r>
      <w:r>
        <w:rPr>
          <w:rFonts w:hint="eastAsia" w:ascii="宋体" w:hAnsi="宋体" w:eastAsiaTheme="minorEastAsia" w:cstheme="minorBidi"/>
          <w:color w:val="auto"/>
          <w:kern w:val="2"/>
          <w:sz w:val="24"/>
          <w:szCs w:val="24"/>
          <w:u w:val="single"/>
          <w:lang w:val="en-US" w:eastAsia="zh-CN" w:bidi="ar-SA"/>
        </w:rPr>
        <w:t>广西百矿新材料技术有限公司；</w:t>
      </w:r>
    </w:p>
    <w:p>
      <w:pPr>
        <w:pStyle w:val="3"/>
        <w:rPr>
          <w:rFonts w:hint="default"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组织单位：</w:t>
      </w:r>
      <w:r>
        <w:rPr>
          <w:rFonts w:hint="eastAsia" w:ascii="宋体" w:hAnsi="宋体" w:eastAsiaTheme="minorEastAsia" w:cstheme="minorBidi"/>
          <w:b w:val="0"/>
          <w:color w:val="auto"/>
          <w:kern w:val="2"/>
          <w:sz w:val="24"/>
          <w:szCs w:val="24"/>
          <w:u w:val="single"/>
          <w:lang w:val="en-US" w:eastAsia="zh-CN" w:bidi="ar-SA"/>
        </w:rPr>
        <w:t>吉利百矿集团有限公司采购中心；</w:t>
      </w:r>
    </w:p>
    <w:p>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spacing w:line="440" w:lineRule="exact"/>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广西百矿新材料技术有限公司位于广西百色市田阳区新山工业园，规划筹建年产量1000万只铝合金轻量化轮毂项目，根据生产经营计划需对2023年涂装工序油漆进行采购。</w:t>
      </w:r>
    </w:p>
    <w:p>
      <w:pPr>
        <w:spacing w:line="440" w:lineRule="exact"/>
        <w:rPr>
          <w:rFonts w:hint="eastAsia" w:eastAsia="宋体"/>
          <w:b/>
          <w:bCs/>
          <w:lang w:val="en-US" w:eastAsia="zh-CN"/>
        </w:rPr>
      </w:pPr>
      <w:r>
        <w:rPr>
          <w:rFonts w:hint="eastAsia" w:ascii="宋体" w:hAnsi="宋体" w:eastAsia="宋体" w:cs="华文仿宋"/>
          <w:b/>
          <w:bCs/>
          <w:color w:val="000000"/>
          <w:sz w:val="24"/>
          <w:szCs w:val="24"/>
        </w:rPr>
        <w:t>2.2</w:t>
      </w:r>
      <w:r>
        <w:rPr>
          <w:rFonts w:hint="eastAsia" w:ascii="宋体" w:hAnsi="宋体" w:eastAsia="宋体"/>
          <w:b/>
          <w:bCs/>
          <w:sz w:val="24"/>
          <w:szCs w:val="24"/>
          <w:lang w:val="en-US" w:eastAsia="zh-CN"/>
        </w:rPr>
        <w:t>采购</w:t>
      </w:r>
      <w:r>
        <w:rPr>
          <w:rFonts w:hint="eastAsia" w:ascii="宋体" w:hAnsi="宋体" w:eastAsia="宋体"/>
          <w:b/>
          <w:bCs/>
          <w:sz w:val="24"/>
          <w:szCs w:val="24"/>
        </w:rPr>
        <w:t>范围：</w:t>
      </w:r>
    </w:p>
    <w:tbl>
      <w:tblPr>
        <w:tblStyle w:val="13"/>
        <w:tblW w:w="8098" w:type="dxa"/>
        <w:tblInd w:w="0" w:type="dxa"/>
        <w:shd w:val="clear" w:color="auto" w:fill="auto"/>
        <w:tblLayout w:type="fixed"/>
        <w:tblCellMar>
          <w:top w:w="0" w:type="dxa"/>
          <w:left w:w="0" w:type="dxa"/>
          <w:bottom w:w="0" w:type="dxa"/>
          <w:right w:w="0" w:type="dxa"/>
        </w:tblCellMar>
      </w:tblPr>
      <w:tblGrid>
        <w:gridCol w:w="867"/>
        <w:gridCol w:w="1951"/>
        <w:gridCol w:w="2961"/>
        <w:gridCol w:w="992"/>
        <w:gridCol w:w="1327"/>
      </w:tblGrid>
      <w:tr>
        <w:tblPrEx>
          <w:shd w:val="clear" w:color="auto" w:fill="auto"/>
          <w:tblCellMar>
            <w:top w:w="0" w:type="dxa"/>
            <w:left w:w="0" w:type="dxa"/>
            <w:bottom w:w="0" w:type="dxa"/>
            <w:right w:w="0" w:type="dxa"/>
          </w:tblCellMar>
        </w:tblPrEx>
        <w:trPr>
          <w:trHeight w:val="754"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类别</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物资名称</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计划用量</w:t>
            </w:r>
          </w:p>
        </w:tc>
      </w:tr>
      <w:tr>
        <w:tblPrEx>
          <w:shd w:val="clear" w:color="auto" w:fill="auto"/>
          <w:tblCellMar>
            <w:top w:w="0" w:type="dxa"/>
            <w:left w:w="0" w:type="dxa"/>
            <w:bottom w:w="0" w:type="dxa"/>
            <w:right w:w="0" w:type="dxa"/>
          </w:tblCellMar>
        </w:tblPrEx>
        <w:trPr>
          <w:trHeight w:val="71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油漆类</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黑漆</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根据产品需求确定型号</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KG</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57878</w:t>
            </w:r>
          </w:p>
        </w:tc>
      </w:tr>
      <w:tr>
        <w:tblPrEx>
          <w:shd w:val="clear" w:color="auto" w:fill="auto"/>
          <w:tblCellMar>
            <w:top w:w="0" w:type="dxa"/>
            <w:left w:w="0" w:type="dxa"/>
            <w:bottom w:w="0" w:type="dxa"/>
            <w:right w:w="0" w:type="dxa"/>
          </w:tblCellMar>
        </w:tblPrEx>
        <w:trPr>
          <w:trHeight w:val="71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油漆类</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底漆</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根据产品需求确定型号</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KG</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34057</w:t>
            </w:r>
          </w:p>
        </w:tc>
      </w:tr>
      <w:tr>
        <w:tblPrEx>
          <w:shd w:val="clear" w:color="auto" w:fill="auto"/>
          <w:tblCellMar>
            <w:top w:w="0" w:type="dxa"/>
            <w:left w:w="0" w:type="dxa"/>
            <w:bottom w:w="0" w:type="dxa"/>
            <w:right w:w="0" w:type="dxa"/>
          </w:tblCellMar>
        </w:tblPrEx>
        <w:trPr>
          <w:trHeight w:val="71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油漆类</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色漆</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根据产品需求确定型号</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KG</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65196</w:t>
            </w:r>
          </w:p>
        </w:tc>
      </w:tr>
      <w:tr>
        <w:tblPrEx>
          <w:shd w:val="clear" w:color="auto" w:fill="auto"/>
          <w:tblCellMar>
            <w:top w:w="0" w:type="dxa"/>
            <w:left w:w="0" w:type="dxa"/>
            <w:bottom w:w="0" w:type="dxa"/>
            <w:right w:w="0" w:type="dxa"/>
          </w:tblCellMar>
        </w:tblPrEx>
        <w:trPr>
          <w:trHeight w:val="71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油漆类</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清漆</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根据产品需求确定型号</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KG</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14915</w:t>
            </w:r>
          </w:p>
        </w:tc>
      </w:tr>
      <w:tr>
        <w:tblPrEx>
          <w:shd w:val="clear" w:color="auto" w:fill="auto"/>
          <w:tblCellMar>
            <w:top w:w="0" w:type="dxa"/>
            <w:left w:w="0" w:type="dxa"/>
            <w:bottom w:w="0" w:type="dxa"/>
            <w:right w:w="0" w:type="dxa"/>
          </w:tblCellMar>
        </w:tblPrEx>
        <w:trPr>
          <w:trHeight w:val="71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油漆类</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稀释剂</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根据产品需求确定型号</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KG</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219158</w:t>
            </w:r>
          </w:p>
        </w:tc>
      </w:tr>
      <w:tr>
        <w:tblPrEx>
          <w:shd w:val="clear" w:color="auto" w:fill="auto"/>
          <w:tblCellMar>
            <w:top w:w="0" w:type="dxa"/>
            <w:left w:w="0" w:type="dxa"/>
            <w:bottom w:w="0" w:type="dxa"/>
            <w:right w:w="0" w:type="dxa"/>
          </w:tblCellMar>
        </w:tblPrEx>
        <w:trPr>
          <w:trHeight w:val="473" w:hRule="atLeast"/>
        </w:trPr>
        <w:tc>
          <w:tcPr>
            <w:tcW w:w="80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备注：以上表格计划用量为预估数量，不作为招标方招标数量的任何承诺，后期具体采购量以实际采购订单为准。</w:t>
            </w:r>
          </w:p>
        </w:tc>
      </w:tr>
    </w:tbl>
    <w:p>
      <w:pPr>
        <w:pStyle w:val="2"/>
        <w:rPr>
          <w:rFonts w:hint="eastAsia" w:eastAsia="宋体"/>
          <w:b/>
          <w:bCs/>
          <w:lang w:val="en-US" w:eastAsia="zh-CN"/>
        </w:rPr>
      </w:pPr>
    </w:p>
    <w:p>
      <w:pPr>
        <w:tabs>
          <w:tab w:val="left" w:pos="780"/>
          <w:tab w:val="left" w:pos="5700"/>
        </w:tabs>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pPr>
        <w:spacing w:line="440" w:lineRule="exact"/>
        <w:rPr>
          <w:rFonts w:hint="eastAsia" w:ascii="宋体" w:hAnsi="宋体" w:eastAsia="宋体" w:cs="华文仿宋"/>
          <w:b/>
          <w:bCs/>
          <w:color w:val="000000"/>
          <w:sz w:val="24"/>
          <w:szCs w:val="24"/>
          <w:lang w:val="en-US" w:eastAsia="zh-CN"/>
        </w:rPr>
      </w:pPr>
      <w:r>
        <w:rPr>
          <w:rFonts w:hint="eastAsia" w:ascii="宋体" w:hAnsi="宋体" w:eastAsia="宋体" w:cs="宋体"/>
          <w:sz w:val="24"/>
          <w:szCs w:val="24"/>
        </w:rPr>
        <w:t xml:space="preserve"> 开标时间：20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具体时间以通知为准</w:t>
      </w:r>
      <w:r>
        <w:rPr>
          <w:rFonts w:hint="eastAsia" w:ascii="宋体" w:hAnsi="宋体" w:eastAsia="宋体" w:cs="宋体"/>
          <w:sz w:val="24"/>
          <w:szCs w:val="24"/>
          <w:lang w:eastAsia="zh-CN"/>
        </w:rPr>
        <w:t>）</w:t>
      </w:r>
    </w:p>
    <w:p>
      <w:pPr>
        <w:spacing w:line="440" w:lineRule="exact"/>
        <w:rPr>
          <w:rFonts w:hint="eastAsia" w:ascii="宋体" w:hAnsi="宋体" w:eastAsia="宋体" w:cs="华文仿宋"/>
          <w:b/>
          <w:bCs/>
          <w:color w:val="000000"/>
          <w:sz w:val="24"/>
          <w:szCs w:val="24"/>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4开标</w:t>
      </w:r>
      <w:r>
        <w:rPr>
          <w:rFonts w:hint="eastAsia" w:ascii="宋体" w:hAnsi="宋体" w:eastAsia="宋体" w:cs="华文仿宋"/>
          <w:b/>
          <w:bCs/>
          <w:color w:val="000000"/>
          <w:sz w:val="24"/>
          <w:szCs w:val="24"/>
        </w:rPr>
        <w:t>地点</w:t>
      </w:r>
    </w:p>
    <w:p>
      <w:pPr>
        <w:keepNext w:val="0"/>
        <w:keepLines w:val="0"/>
        <w:pageBreakBefore w:val="0"/>
        <w:widowControl w:val="0"/>
        <w:tabs>
          <w:tab w:val="left" w:pos="600"/>
        </w:tabs>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宋体" w:hAnsi="宋体"/>
          <w:sz w:val="24"/>
          <w:lang w:val="en-US" w:eastAsia="zh-CN"/>
        </w:rPr>
        <w:t>广西百色市右江区东增路188号吉利百矿集团有限公司</w:t>
      </w:r>
      <w:r>
        <w:rPr>
          <w:rFonts w:hint="eastAsia" w:ascii="宋体" w:hAnsi="宋体"/>
          <w:sz w:val="24"/>
          <w:highlight w:val="none"/>
          <w:lang w:val="en-US" w:eastAsia="zh-CN"/>
        </w:rPr>
        <w:t>；</w:t>
      </w:r>
    </w:p>
    <w:p>
      <w:pPr>
        <w:spacing w:line="440" w:lineRule="exact"/>
        <w:rPr>
          <w:rFonts w:hint="default" w:ascii="宋体" w:hAnsi="宋体" w:eastAsia="宋体" w:cs="华文仿宋"/>
          <w:b/>
          <w:bCs/>
          <w:color w:val="000000"/>
          <w:sz w:val="24"/>
          <w:szCs w:val="24"/>
          <w:lang w:val="en-US"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5供货时间</w:t>
      </w:r>
    </w:p>
    <w:p>
      <w:pPr>
        <w:keepNext w:val="0"/>
        <w:keepLines w:val="0"/>
        <w:pageBreakBefore w:val="0"/>
        <w:widowControl w:val="0"/>
        <w:tabs>
          <w:tab w:val="left" w:pos="600"/>
        </w:tabs>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lang w:val="en-US" w:eastAsia="zh-CN"/>
        </w:rPr>
      </w:pPr>
      <w:r>
        <w:rPr>
          <w:rFonts w:hint="eastAsia"/>
          <w:sz w:val="24"/>
          <w:lang w:val="en-US" w:eastAsia="zh-CN"/>
        </w:rPr>
        <w:t>每批产品</w:t>
      </w:r>
      <w:r>
        <w:rPr>
          <w:rFonts w:hint="eastAsia"/>
          <w:color w:val="000000" w:themeColor="text1"/>
          <w:sz w:val="24"/>
          <w:lang w:val="en-US" w:eastAsia="zh-CN"/>
          <w14:textFill>
            <w14:solidFill>
              <w14:schemeClr w14:val="tx1"/>
            </w14:solidFill>
          </w14:textFill>
        </w:rPr>
        <w:t>按</w:t>
      </w:r>
      <w:r>
        <w:rPr>
          <w:rFonts w:hint="eastAsia"/>
          <w:color w:val="000000" w:themeColor="text1"/>
          <w:sz w:val="24"/>
          <w14:textFill>
            <w14:solidFill>
              <w14:schemeClr w14:val="tx1"/>
            </w14:solidFill>
          </w14:textFill>
        </w:rPr>
        <w:t>双方确定</w:t>
      </w:r>
      <w:r>
        <w:rPr>
          <w:rFonts w:hint="eastAsia"/>
          <w:color w:val="000000" w:themeColor="text1"/>
          <w:sz w:val="24"/>
          <w:lang w:val="en-US" w:eastAsia="zh-CN"/>
          <w14:textFill>
            <w14:solidFill>
              <w14:schemeClr w14:val="tx1"/>
            </w14:solidFill>
          </w14:textFill>
        </w:rPr>
        <w:t>的订单10</w:t>
      </w:r>
      <w:r>
        <w:rPr>
          <w:rFonts w:hint="eastAsia"/>
          <w:color w:val="000000" w:themeColor="text1"/>
          <w:sz w:val="24"/>
          <w14:textFill>
            <w14:solidFill>
              <w14:schemeClr w14:val="tx1"/>
            </w14:solidFill>
          </w14:textFill>
        </w:rPr>
        <w:t>天内</w:t>
      </w:r>
      <w:r>
        <w:rPr>
          <w:rFonts w:hint="eastAsia"/>
          <w:color w:val="000000" w:themeColor="text1"/>
          <w:sz w:val="24"/>
          <w:lang w:val="en-US" w:eastAsia="zh-CN"/>
          <w14:textFill>
            <w14:solidFill>
              <w14:schemeClr w14:val="tx1"/>
            </w14:solidFill>
          </w14:textFill>
        </w:rPr>
        <w:t>完成</w:t>
      </w:r>
      <w:r>
        <w:rPr>
          <w:rFonts w:hint="eastAsia"/>
          <w:sz w:val="24"/>
        </w:rPr>
        <w:t>交货</w:t>
      </w:r>
      <w:r>
        <w:rPr>
          <w:rFonts w:hint="eastAsia"/>
          <w:sz w:val="24"/>
          <w:lang w:eastAsia="zh-CN"/>
        </w:rPr>
        <w:t>，</w:t>
      </w:r>
      <w:r>
        <w:rPr>
          <w:rFonts w:hint="eastAsia" w:ascii="宋体" w:hAnsi="宋体"/>
          <w:sz w:val="24"/>
          <w:highlight w:val="none"/>
          <w:lang w:val="en-US" w:eastAsia="zh-CN"/>
        </w:rPr>
        <w:t>以采购订单通知为准。</w:t>
      </w:r>
    </w:p>
    <w:p>
      <w:pPr>
        <w:spacing w:line="440" w:lineRule="exact"/>
        <w:rPr>
          <w:rFonts w:hint="eastAsia" w:ascii="宋体" w:hAnsi="宋体" w:eastAsia="宋体" w:cs="华文仿宋"/>
          <w:b/>
          <w:bCs/>
          <w:color w:val="000000"/>
          <w:sz w:val="24"/>
          <w:szCs w:val="24"/>
          <w:lang w:val="en-US" w:eastAsia="zh-CN"/>
        </w:rPr>
      </w:pPr>
      <w:r>
        <w:rPr>
          <w:rFonts w:hint="eastAsia" w:ascii="宋体" w:hAnsi="宋体" w:eastAsia="宋体" w:cs="华文仿宋"/>
          <w:b/>
          <w:bCs/>
          <w:color w:val="000000"/>
          <w:sz w:val="24"/>
          <w:szCs w:val="24"/>
          <w:lang w:val="en-US" w:eastAsia="zh-CN"/>
        </w:rPr>
        <w:t>2.6供货地点</w:t>
      </w:r>
    </w:p>
    <w:p>
      <w:pPr>
        <w:pStyle w:val="3"/>
        <w:ind w:firstLine="480" w:firstLineChars="200"/>
        <w:rPr>
          <w:rFonts w:hint="default"/>
          <w:lang w:val="en-US" w:eastAsia="zh-CN"/>
        </w:rPr>
      </w:pPr>
      <w:r>
        <w:rPr>
          <w:rFonts w:hint="eastAsia"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t>广西百色市田阳区新山工业园，广西百矿新材料技术有限公司</w:t>
      </w:r>
      <w:r>
        <w:rPr>
          <w:rFonts w:hint="eastAsia" w:cstheme="minorBidi"/>
          <w:b w:val="0"/>
          <w:color w:val="000000" w:themeColor="text1"/>
          <w:kern w:val="2"/>
          <w:sz w:val="24"/>
          <w:szCs w:val="22"/>
          <w:lang w:val="en-US" w:eastAsia="zh-CN" w:bidi="ar-SA"/>
          <w14:textFill>
            <w14:solidFill>
              <w14:schemeClr w14:val="tx1"/>
            </w14:solidFill>
          </w14:textFill>
        </w:rPr>
        <w:t>指定</w:t>
      </w:r>
      <w:r>
        <w:rPr>
          <w:rFonts w:hint="eastAsia"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t>仓库。</w:t>
      </w:r>
    </w:p>
    <w:p>
      <w:pPr>
        <w:numPr>
          <w:ilvl w:val="0"/>
          <w:numId w:val="0"/>
        </w:numPr>
        <w:spacing w:line="440" w:lineRule="exact"/>
        <w:rPr>
          <w:rFonts w:hint="eastAsia" w:ascii="黑体" w:hAnsi="黑体" w:eastAsia="黑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投标</w:t>
      </w:r>
      <w:r>
        <w:rPr>
          <w:rFonts w:hint="eastAsia" w:ascii="宋体" w:hAnsi="宋体" w:eastAsia="宋体" w:cs="宋体"/>
          <w:b/>
          <w:sz w:val="24"/>
          <w:szCs w:val="24"/>
        </w:rPr>
        <w:t>人资格要求</w:t>
      </w:r>
    </w:p>
    <w:p>
      <w:pPr>
        <w:pStyle w:val="12"/>
        <w:shd w:val="clear" w:color="auto" w:fill="FFFFFF"/>
        <w:spacing w:before="0" w:beforeAutospacing="0" w:after="0" w:afterAutospacing="0" w:line="420" w:lineRule="atLeast"/>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3.1在中国境内注册，有独立法人资格和承担民事责任的能力；</w:t>
      </w:r>
    </w:p>
    <w:p>
      <w:pPr>
        <w:pStyle w:val="12"/>
        <w:shd w:val="clear" w:color="auto" w:fill="FFFFFF"/>
        <w:spacing w:before="0" w:beforeAutospacing="0" w:after="0" w:afterAutospacing="0" w:line="420" w:lineRule="atLeast"/>
        <w:rPr>
          <w:rFonts w:hint="default"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3.2</w:t>
      </w:r>
      <w:r>
        <w:rPr>
          <w:rFonts w:hint="default" w:ascii="宋体" w:hAnsi="宋体" w:eastAsia="宋体" w:cstheme="minorBidi"/>
          <w:color w:val="auto"/>
          <w:kern w:val="2"/>
          <w:sz w:val="24"/>
          <w:szCs w:val="24"/>
          <w:lang w:val="en-US" w:eastAsia="zh-CN" w:bidi="ar-SA"/>
        </w:rPr>
        <w:t>.</w:t>
      </w:r>
      <w:r>
        <w:rPr>
          <w:rFonts w:hint="eastAsia" w:ascii="宋体" w:hAnsi="宋体" w:eastAsia="宋体" w:cstheme="minorBidi"/>
          <w:color w:val="auto"/>
          <w:kern w:val="2"/>
          <w:sz w:val="24"/>
          <w:szCs w:val="24"/>
          <w:lang w:val="en-US" w:eastAsia="zh-CN" w:bidi="ar-SA"/>
        </w:rPr>
        <w:t>遵守中华人民共和国有关法律、法规和条例。</w:t>
      </w:r>
    </w:p>
    <w:p>
      <w:pPr>
        <w:pStyle w:val="12"/>
        <w:shd w:val="clear" w:color="auto" w:fill="FFFFFF"/>
        <w:spacing w:before="0" w:beforeAutospacing="0" w:after="0" w:afterAutospacing="0" w:line="420" w:lineRule="atLeast"/>
        <w:rPr>
          <w:rFonts w:hint="default"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3.3</w:t>
      </w:r>
      <w:r>
        <w:rPr>
          <w:rFonts w:hint="default" w:ascii="宋体" w:hAnsi="宋体" w:eastAsia="宋体" w:cstheme="minorBidi"/>
          <w:color w:val="auto"/>
          <w:kern w:val="2"/>
          <w:sz w:val="24"/>
          <w:szCs w:val="24"/>
          <w:lang w:val="en-US" w:eastAsia="zh-CN" w:bidi="ar-SA"/>
        </w:rPr>
        <w:t>.没有处于被责令停业，财产被接管、冻结及破产状态；</w:t>
      </w:r>
    </w:p>
    <w:p>
      <w:pPr>
        <w:pStyle w:val="12"/>
        <w:shd w:val="clear" w:color="auto" w:fill="FFFFFF"/>
        <w:spacing w:before="0" w:beforeAutospacing="0" w:after="0" w:afterAutospacing="0" w:line="420" w:lineRule="atLeast"/>
        <w:rPr>
          <w:rFonts w:hint="default" w:ascii="宋体" w:hAnsi="宋体" w:eastAsia="宋体" w:cstheme="minorBidi"/>
          <w:color w:val="auto"/>
          <w:kern w:val="2"/>
          <w:sz w:val="24"/>
          <w:szCs w:val="24"/>
          <w:lang w:val="en-US" w:eastAsia="zh-CN" w:bidi="ar-SA"/>
        </w:rPr>
      </w:pPr>
      <w:r>
        <w:rPr>
          <w:rFonts w:hint="eastAsia" w:cstheme="minorBidi"/>
          <w:kern w:val="2"/>
          <w:lang w:val="en-US" w:eastAsia="zh-CN"/>
        </w:rPr>
        <w:t>3.4</w:t>
      </w:r>
      <w:r>
        <w:rPr>
          <w:rFonts w:hint="default" w:ascii="宋体" w:hAnsi="宋体" w:eastAsia="宋体" w:cstheme="minorBidi"/>
          <w:color w:val="auto"/>
          <w:kern w:val="2"/>
          <w:sz w:val="24"/>
          <w:szCs w:val="24"/>
          <w:lang w:val="en-US" w:eastAsia="zh-CN" w:bidi="ar-SA"/>
        </w:rPr>
        <w:t>.</w:t>
      </w:r>
      <w:r>
        <w:rPr>
          <w:rFonts w:hint="eastAsia" w:ascii="宋体" w:hAnsi="宋体" w:eastAsia="宋体" w:cstheme="minorBidi"/>
          <w:color w:val="auto"/>
          <w:kern w:val="2"/>
          <w:sz w:val="24"/>
          <w:szCs w:val="24"/>
          <w:lang w:val="en-US" w:eastAsia="zh-CN" w:bidi="ar-SA"/>
        </w:rPr>
        <w:t>具备自行生产制造能力，具有竞标规格及以上相应工程或相似条件，近</w:t>
      </w:r>
      <w:r>
        <w:rPr>
          <w:rFonts w:hint="eastAsia" w:cstheme="minorBidi"/>
          <w:color w:val="auto"/>
          <w:kern w:val="2"/>
          <w:sz w:val="24"/>
          <w:szCs w:val="24"/>
          <w:lang w:val="en-US" w:eastAsia="zh-CN" w:bidi="ar-SA"/>
        </w:rPr>
        <w:t>3</w:t>
      </w:r>
      <w:r>
        <w:rPr>
          <w:rFonts w:hint="eastAsia" w:ascii="宋体" w:hAnsi="宋体" w:eastAsia="宋体" w:cstheme="minorBidi"/>
          <w:color w:val="auto"/>
          <w:kern w:val="2"/>
          <w:sz w:val="24"/>
          <w:szCs w:val="24"/>
          <w:lang w:val="en-US" w:eastAsia="zh-CN" w:bidi="ar-SA"/>
        </w:rPr>
        <w:t>年内在国内</w:t>
      </w:r>
      <w:r>
        <w:rPr>
          <w:rFonts w:hint="eastAsia" w:cstheme="minorBidi"/>
          <w:color w:val="auto"/>
          <w:kern w:val="2"/>
          <w:sz w:val="24"/>
          <w:szCs w:val="24"/>
          <w:lang w:val="en-US" w:eastAsia="zh-CN" w:bidi="ar-SA"/>
        </w:rPr>
        <w:t>外</w:t>
      </w:r>
      <w:r>
        <w:rPr>
          <w:rFonts w:hint="eastAsia" w:ascii="宋体" w:hAnsi="宋体" w:eastAsia="宋体" w:cstheme="minorBidi"/>
          <w:color w:val="auto"/>
          <w:kern w:val="2"/>
          <w:sz w:val="24"/>
          <w:szCs w:val="24"/>
          <w:lang w:val="en-US" w:eastAsia="zh-CN" w:bidi="ar-SA"/>
        </w:rPr>
        <w:t>需有</w:t>
      </w:r>
      <w:r>
        <w:rPr>
          <w:rFonts w:hint="eastAsia" w:cstheme="minorBidi"/>
          <w:color w:val="auto"/>
          <w:kern w:val="2"/>
          <w:sz w:val="24"/>
          <w:szCs w:val="24"/>
          <w:lang w:val="en-US" w:eastAsia="zh-CN" w:bidi="ar-SA"/>
        </w:rPr>
        <w:t>2个铝轮毂行业供货的</w:t>
      </w:r>
      <w:r>
        <w:rPr>
          <w:rFonts w:hint="eastAsia" w:ascii="宋体" w:hAnsi="宋体" w:eastAsia="宋体" w:cstheme="minorBidi"/>
          <w:color w:val="auto"/>
          <w:kern w:val="2"/>
          <w:sz w:val="24"/>
          <w:szCs w:val="24"/>
          <w:lang w:val="en-US" w:eastAsia="zh-CN" w:bidi="ar-SA"/>
        </w:rPr>
        <w:t>类似业绩（业绩须附列表及对应列表的合同原件扫描件。合同原件扫描件含首尾页、供货清单</w:t>
      </w:r>
      <w:r>
        <w:rPr>
          <w:rFonts w:hint="eastAsia" w:cstheme="minorBidi"/>
          <w:color w:val="auto"/>
          <w:kern w:val="2"/>
          <w:sz w:val="24"/>
          <w:szCs w:val="24"/>
          <w:lang w:val="en-US" w:eastAsia="zh-CN" w:bidi="ar-SA"/>
        </w:rPr>
        <w:t>或发票</w:t>
      </w:r>
      <w:r>
        <w:rPr>
          <w:rFonts w:hint="eastAsia" w:ascii="宋体" w:hAnsi="宋体" w:eastAsia="宋体" w:cstheme="minorBidi"/>
          <w:color w:val="auto"/>
          <w:kern w:val="2"/>
          <w:sz w:val="24"/>
          <w:szCs w:val="24"/>
          <w:lang w:val="en-US" w:eastAsia="zh-CN" w:bidi="ar-SA"/>
        </w:rPr>
        <w:t>、签字盖章页，否则按无效业绩处理）</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3.5近年来有较好业绩且无不良商业行为。</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3.6具有良好的商业信誉和健全的财务会计制度。</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3.7本次招标不接受联合体投标。</w:t>
      </w:r>
    </w:p>
    <w:p>
      <w:pPr>
        <w:numPr>
          <w:ilvl w:val="0"/>
          <w:numId w:val="0"/>
        </w:numPr>
        <w:spacing w:line="440" w:lineRule="exact"/>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4</w:t>
      </w:r>
      <w:r>
        <w:rPr>
          <w:rFonts w:hint="eastAsia" w:ascii="宋体" w:hAnsi="宋体" w:eastAsia="宋体" w:cs="宋体"/>
          <w:b/>
          <w:sz w:val="24"/>
          <w:szCs w:val="24"/>
        </w:rPr>
        <w:t xml:space="preserve">. </w:t>
      </w:r>
      <w:r>
        <w:rPr>
          <w:rFonts w:hint="eastAsia" w:ascii="宋体" w:hAnsi="宋体" w:eastAsia="宋体" w:cs="宋体"/>
          <w:b/>
          <w:sz w:val="24"/>
          <w:szCs w:val="24"/>
          <w:lang w:eastAsia="zh-CN"/>
        </w:rPr>
        <w:t>报</w:t>
      </w:r>
      <w:r>
        <w:rPr>
          <w:rFonts w:hint="eastAsia" w:ascii="宋体" w:hAnsi="宋体" w:eastAsia="宋体" w:cs="宋体"/>
          <w:b/>
          <w:sz w:val="24"/>
          <w:szCs w:val="24"/>
          <w:lang w:val="en-US" w:eastAsia="zh-CN"/>
        </w:rPr>
        <w:t>价</w:t>
      </w:r>
      <w:r>
        <w:rPr>
          <w:rFonts w:hint="eastAsia" w:ascii="宋体" w:hAnsi="宋体" w:eastAsia="宋体" w:cs="宋体"/>
          <w:b/>
          <w:sz w:val="24"/>
          <w:szCs w:val="24"/>
          <w:lang w:eastAsia="zh-CN"/>
        </w:rPr>
        <w:t>及相关要求</w:t>
      </w:r>
    </w:p>
    <w:p>
      <w:pPr>
        <w:spacing w:line="400" w:lineRule="exact"/>
        <w:rPr>
          <w:rFonts w:hint="eastAsia" w:ascii="宋体" w:hAnsi="宋体" w:eastAsia="宋体"/>
          <w:color w:val="auto"/>
          <w:sz w:val="24"/>
          <w:szCs w:val="24"/>
          <w:lang w:val="en-US" w:eastAsia="zh-CN"/>
        </w:rPr>
      </w:pPr>
      <w:r>
        <w:rPr>
          <w:rFonts w:hint="eastAsia" w:ascii="宋体" w:hAnsi="宋体" w:eastAsia="宋体"/>
          <w:b/>
          <w:bCs/>
          <w:color w:val="auto"/>
          <w:sz w:val="24"/>
          <w:szCs w:val="24"/>
          <w:lang w:val="en-US" w:eastAsia="zh-CN"/>
        </w:rPr>
        <w:t>4.1付款方式</w:t>
      </w:r>
    </w:p>
    <w:p>
      <w:pPr>
        <w:spacing w:line="400" w:lineRule="exact"/>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先货后款，每批产品验收合格入库后</w:t>
      </w:r>
      <w:r>
        <w:rPr>
          <w:rFonts w:hint="eastAsia" w:ascii="宋体" w:hAnsi="宋体" w:eastAsia="宋体" w:cs="宋体"/>
          <w:b w:val="0"/>
          <w:bCs/>
          <w:sz w:val="24"/>
          <w:szCs w:val="24"/>
          <w:lang w:val="en-US" w:eastAsia="zh-CN"/>
        </w:rPr>
        <w:t>及收到13%增值税专用发票入甲方财务账后30日内支付相应货款。</w:t>
      </w:r>
    </w:p>
    <w:p>
      <w:pPr>
        <w:spacing w:line="400" w:lineRule="exact"/>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4.2 价款结算</w:t>
      </w:r>
    </w:p>
    <w:p>
      <w:pPr>
        <w:spacing w:line="400" w:lineRule="exact"/>
        <w:ind w:firstLine="480" w:firstLineChars="200"/>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lang w:val="en-US" w:eastAsia="zh-CN"/>
        </w:rPr>
        <w:t>每批次产品经甲方验收合格入库后，按合同每项实际到货量乘合同（产品清单）单价结算。若遇国家税率调整，应按调整后的最新税率计付合同款项，即合同不含税价格不受国家税率调整的影响。</w:t>
      </w:r>
    </w:p>
    <w:p>
      <w:pPr>
        <w:numPr>
          <w:ilvl w:val="0"/>
          <w:numId w:val="0"/>
        </w:numPr>
        <w:spacing w:line="440" w:lineRule="exac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5.竞价谈判、评标办法</w:t>
      </w:r>
    </w:p>
    <w:p>
      <w:pPr>
        <w:spacing w:line="400" w:lineRule="exact"/>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5.1通过资格审查后确定入围的投标人，请至吉利电子招标平台（https://glzb.geely.com）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参与的，视作无效。</w:t>
      </w:r>
    </w:p>
    <w:p>
      <w:pPr>
        <w:spacing w:line="400" w:lineRule="exact"/>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5.2本次评标采用价格最低中标，按价格由低到高顺序确定中标人。本次招标暂定于 2023年06月15日进行（具体时间以通知为准），登录吉利电子招标平台（https://glzb.geely.com）进行报价，招标方有权选择电子竞价、电子谈判或者多种形式结合的方式进行竞价（详见“竞价形式说明”）。</w:t>
      </w:r>
    </w:p>
    <w:p>
      <w:pPr>
        <w:spacing w:line="400" w:lineRule="exact"/>
        <w:ind w:firstLine="480" w:firstLineChars="200"/>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lang w:val="en-US" w:eastAsia="zh-CN"/>
        </w:rPr>
        <w:t>5.3</w:t>
      </w:r>
      <w:bookmarkStart w:id="1" w:name="_Toc33189460"/>
      <w:r>
        <w:rPr>
          <w:rFonts w:ascii="宋体" w:hAnsi="宋体" w:eastAsia="宋体" w:cs="宋体"/>
          <w:sz w:val="24"/>
          <w:szCs w:val="24"/>
        </w:rPr>
        <w:t>本项目拟选择两家中标单位进行保供。</w:t>
      </w:r>
    </w:p>
    <w:p>
      <w:pPr>
        <w:pStyle w:val="6"/>
        <w:ind w:left="0" w:leftChars="0" w:firstLine="0" w:firstLineChars="0"/>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6.确认</w:t>
      </w:r>
      <w:bookmarkEnd w:id="1"/>
    </w:p>
    <w:p>
      <w:pPr>
        <w:spacing w:line="400" w:lineRule="exact"/>
        <w:ind w:firstLine="450"/>
        <w:rPr>
          <w:rFonts w:hint="eastAsia" w:ascii="宋体" w:hAnsi="宋体" w:eastAsia="宋体"/>
          <w:sz w:val="24"/>
          <w:szCs w:val="24"/>
          <w:highlight w:val="none"/>
        </w:rPr>
      </w:pPr>
      <w:r>
        <w:rPr>
          <w:rFonts w:hint="eastAsia" w:ascii="宋体" w:hAnsi="宋体" w:eastAsia="宋体"/>
          <w:sz w:val="24"/>
          <w:szCs w:val="24"/>
          <w:highlight w:val="none"/>
          <w:lang w:eastAsia="zh-CN"/>
        </w:rPr>
        <w:t>贵公司</w:t>
      </w:r>
      <w:r>
        <w:rPr>
          <w:rFonts w:hint="eastAsia" w:ascii="宋体" w:hAnsi="宋体" w:eastAsia="宋体"/>
          <w:sz w:val="24"/>
          <w:szCs w:val="24"/>
          <w:highlight w:val="none"/>
        </w:rPr>
        <w:t xml:space="preserve">收到本标邀请书后，请于 </w:t>
      </w:r>
      <w:r>
        <w:rPr>
          <w:rFonts w:hint="eastAsia" w:ascii="宋体" w:hAnsi="宋体" w:eastAsia="宋体"/>
          <w:sz w:val="24"/>
          <w:szCs w:val="24"/>
          <w:highlight w:val="none"/>
          <w:u w:val="single"/>
          <w:lang w:val="en-US" w:eastAsia="zh-CN"/>
        </w:rPr>
        <w:t>2023</w:t>
      </w:r>
      <w:r>
        <w:rPr>
          <w:rFonts w:hint="eastAsia" w:ascii="宋体" w:hAnsi="宋体" w:eastAsia="宋体"/>
          <w:sz w:val="24"/>
          <w:szCs w:val="24"/>
          <w:highlight w:val="none"/>
        </w:rPr>
        <w:t>年</w:t>
      </w:r>
      <w:r>
        <w:rPr>
          <w:rFonts w:hint="eastAsia" w:ascii="宋体" w:hAnsi="宋体" w:eastAsia="宋体"/>
          <w:sz w:val="24"/>
          <w:szCs w:val="24"/>
          <w:highlight w:val="none"/>
          <w:u w:val="single"/>
          <w:lang w:val="en-US" w:eastAsia="zh-CN"/>
        </w:rPr>
        <w:t xml:space="preserve"> 06</w:t>
      </w:r>
      <w:r>
        <w:rPr>
          <w:rFonts w:hint="eastAsia" w:ascii="宋体" w:hAnsi="宋体" w:eastAsia="宋体"/>
          <w:sz w:val="24"/>
          <w:szCs w:val="24"/>
          <w:highlight w:val="none"/>
        </w:rPr>
        <w:t>月</w:t>
      </w:r>
      <w:r>
        <w:rPr>
          <w:rFonts w:hint="eastAsia" w:ascii="宋体" w:hAnsi="宋体" w:eastAsia="宋体"/>
          <w:sz w:val="24"/>
          <w:szCs w:val="24"/>
          <w:highlight w:val="none"/>
          <w:u w:val="single"/>
          <w:lang w:val="en-US" w:eastAsia="zh-CN"/>
        </w:rPr>
        <w:t xml:space="preserve"> 11 </w:t>
      </w:r>
      <w:r>
        <w:rPr>
          <w:rFonts w:hint="eastAsia" w:ascii="宋体" w:hAnsi="宋体" w:eastAsia="宋体"/>
          <w:sz w:val="24"/>
          <w:szCs w:val="24"/>
          <w:highlight w:val="none"/>
        </w:rPr>
        <w:t>日</w:t>
      </w:r>
      <w:r>
        <w:rPr>
          <w:rFonts w:hint="eastAsia" w:ascii="宋体" w:hAnsi="宋体" w:eastAsia="宋体"/>
          <w:sz w:val="24"/>
          <w:szCs w:val="24"/>
          <w:highlight w:val="none"/>
          <w:u w:val="single"/>
          <w:lang w:val="en-US" w:eastAsia="zh-CN"/>
        </w:rPr>
        <w:t xml:space="preserve"> 17 </w:t>
      </w:r>
      <w:r>
        <w:rPr>
          <w:rFonts w:hint="eastAsia" w:ascii="宋体" w:hAnsi="宋体" w:eastAsia="宋体"/>
          <w:sz w:val="24"/>
          <w:szCs w:val="24"/>
          <w:highlight w:val="none"/>
        </w:rPr>
        <w:t>时前将确认通知（附件</w:t>
      </w:r>
      <w:r>
        <w:rPr>
          <w:rFonts w:hint="eastAsia" w:ascii="宋体" w:hAnsi="宋体" w:eastAsia="宋体"/>
          <w:sz w:val="24"/>
          <w:szCs w:val="24"/>
          <w:highlight w:val="none"/>
          <w:lang w:val="en-US" w:eastAsia="zh-CN"/>
        </w:rPr>
        <w:t>二</w:t>
      </w:r>
      <w:r>
        <w:rPr>
          <w:rFonts w:hint="eastAsia" w:ascii="宋体" w:hAnsi="宋体" w:eastAsia="宋体"/>
          <w:sz w:val="24"/>
          <w:szCs w:val="24"/>
          <w:highlight w:val="none"/>
        </w:rPr>
        <w:t>）以邮件方式反馈给招标人商务人员，以确认是否参加。在本投标邀请书规定的时间内未表示是否参加或明确表示不参加投标的，不得再参加投标。</w:t>
      </w:r>
    </w:p>
    <w:p>
      <w:pPr>
        <w:pStyle w:val="2"/>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7投标保证金</w:t>
      </w:r>
    </w:p>
    <w:p>
      <w:pPr>
        <w:pStyle w:val="6"/>
        <w:ind w:firstLine="480" w:firstLineChars="20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投标保证金金额：投标保证金</w:t>
      </w:r>
      <w:r>
        <w:rPr>
          <w:rFonts w:hint="eastAsia" w:ascii="宋体" w:hAnsi="宋体" w:eastAsia="宋体" w:cstheme="minorBidi"/>
          <w:kern w:val="2"/>
          <w:sz w:val="24"/>
          <w:szCs w:val="24"/>
          <w:u w:val="single"/>
          <w:lang w:val="en-US" w:eastAsia="zh-CN" w:bidi="ar-SA"/>
        </w:rPr>
        <w:t>20万元</w:t>
      </w:r>
      <w:r>
        <w:rPr>
          <w:rFonts w:hint="eastAsia" w:ascii="宋体" w:hAnsi="宋体" w:eastAsia="宋体" w:cstheme="minorBidi"/>
          <w:kern w:val="2"/>
          <w:sz w:val="24"/>
          <w:szCs w:val="24"/>
          <w:lang w:val="en-US" w:eastAsia="zh-CN" w:bidi="ar-SA"/>
        </w:rPr>
        <w:t>。投标保证金须再2023年06月12日前汇入我公司账户并提供相应材料。未按规定时间缴纳保证金的，不得参与投标。保证金在招标结果确定后，未中标单位10个工作日内退还；中标单位合同签订后第一批物资到货验收合格后10个工作日内退还。</w:t>
      </w:r>
    </w:p>
    <w:p>
      <w:pPr>
        <w:pStyle w:val="6"/>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投标保证金以电汇形式交纳。采用电汇形式的投标保证金须打入以下帐户：</w:t>
      </w:r>
    </w:p>
    <w:p>
      <w:pPr>
        <w:pStyle w:val="6"/>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 xml:space="preserve">招标单位名称：广西百矿新材料技术有限公司  </w:t>
      </w:r>
    </w:p>
    <w:p>
      <w:pPr>
        <w:pStyle w:val="6"/>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开   户   行：中国建设银行百色分行营业部</w:t>
      </w:r>
    </w:p>
    <w:p>
      <w:pPr>
        <w:pStyle w:val="6"/>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帐       号：</w:t>
      </w:r>
      <w:r>
        <w:rPr>
          <w:rFonts w:hint="eastAsia" w:ascii="宋体" w:hAnsi="宋体" w:eastAsia="宋体" w:cstheme="minorBidi"/>
          <w:kern w:val="2"/>
          <w:sz w:val="24"/>
          <w:szCs w:val="24"/>
          <w:lang w:val="en-US" w:eastAsia="zh-CN" w:bidi="ar-SA"/>
        </w:rPr>
        <w:t xml:space="preserve"> </w:t>
      </w:r>
      <w:r>
        <w:rPr>
          <w:rFonts w:hint="eastAsia" w:ascii="宋体" w:hAnsi="宋体" w:eastAsia="宋体" w:cstheme="minorBidi"/>
          <w:b/>
          <w:bCs/>
          <w:kern w:val="2"/>
          <w:sz w:val="24"/>
          <w:szCs w:val="24"/>
          <w:lang w:val="en-US" w:eastAsia="zh-CN" w:bidi="ar-SA"/>
        </w:rPr>
        <w:t>45050167610109666888</w:t>
      </w:r>
    </w:p>
    <w:p>
      <w:pPr>
        <w:pStyle w:val="3"/>
        <w:rPr>
          <w:rFonts w:hint="eastAsia" w:ascii="宋体" w:hAnsi="宋体" w:eastAsia="宋体" w:cstheme="minorBidi"/>
          <w:b/>
          <w:bCs/>
          <w:color w:val="auto"/>
          <w:kern w:val="2"/>
          <w:sz w:val="24"/>
          <w:szCs w:val="24"/>
          <w:lang w:val="en-US" w:eastAsia="zh-CN" w:bidi="ar-SA"/>
        </w:rPr>
      </w:pPr>
      <w:r>
        <w:rPr>
          <w:rFonts w:hint="eastAsia" w:ascii="宋体" w:hAnsi="宋体" w:eastAsia="宋体" w:cstheme="minorBidi"/>
          <w:b/>
          <w:bCs/>
          <w:color w:val="auto"/>
          <w:kern w:val="2"/>
          <w:sz w:val="24"/>
          <w:szCs w:val="24"/>
          <w:lang w:val="en-US" w:eastAsia="zh-CN" w:bidi="ar-SA"/>
        </w:rPr>
        <w:t>（汇款时备注：广西百矿新材料技术有限公司2023年涂装工序油漆采购投标保证金）</w:t>
      </w:r>
    </w:p>
    <w:p>
      <w:pPr>
        <w:pStyle w:val="6"/>
        <w:ind w:left="0" w:leftChars="0" w:firstLine="0" w:firstLineChars="0"/>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7.联系方式</w:t>
      </w:r>
    </w:p>
    <w:tbl>
      <w:tblPr>
        <w:tblStyle w:val="14"/>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Borders>
              <w:top w:val="nil"/>
              <w:left w:val="nil"/>
              <w:bottom w:val="nil"/>
              <w:right w:val="nil"/>
            </w:tcBorders>
            <w:tcMar>
              <w:left w:w="28" w:type="dxa"/>
              <w:right w:w="28" w:type="dxa"/>
            </w:tcMar>
            <w:vAlign w:val="center"/>
          </w:tcPr>
          <w:p>
            <w:pPr>
              <w:spacing w:line="400" w:lineRule="exact"/>
              <w:jc w:val="distribute"/>
              <w:rPr>
                <w:rFonts w:hint="eastAsia" w:eastAsiaTheme="minorEastAsia"/>
                <w:kern w:val="0"/>
                <w:sz w:val="24"/>
                <w:szCs w:val="24"/>
                <w:lang w:eastAsia="zh-CN"/>
              </w:rPr>
            </w:pPr>
            <w:r>
              <w:rPr>
                <w:rFonts w:hint="eastAsia"/>
                <w:kern w:val="0"/>
                <w:sz w:val="24"/>
                <w:szCs w:val="24"/>
                <w:lang w:val="en-US" w:eastAsia="zh-CN"/>
              </w:rPr>
              <w:t>公司</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top w:val="nil"/>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lang w:eastAsia="zh-CN"/>
              </w:rPr>
              <w:t>广西百矿新材料技术有限公司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地址</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t>广西</w:t>
            </w:r>
            <w:r>
              <w:rPr>
                <w:rFonts w:hint="eastAsia" w:ascii="宋体" w:hAnsi="宋体" w:eastAsia="宋体"/>
                <w:sz w:val="24"/>
                <w:szCs w:val="24"/>
                <w:lang w:val="en-US" w:eastAsia="zh-CN"/>
              </w:rPr>
              <w:t>百色市</w:t>
            </w:r>
            <w:r>
              <w:rPr>
                <w:rFonts w:hint="eastAsia" w:ascii="宋体" w:hAnsi="宋体" w:eastAsia="宋体"/>
                <w:sz w:val="24"/>
                <w:szCs w:val="24"/>
              </w:rPr>
              <w:t>田阳</w:t>
            </w:r>
            <w:r>
              <w:rPr>
                <w:rFonts w:hint="eastAsia" w:ascii="宋体" w:hAnsi="宋体" w:eastAsia="宋体"/>
                <w:sz w:val="24"/>
                <w:szCs w:val="24"/>
                <w:lang w:eastAsia="zh-CN"/>
              </w:rPr>
              <w:t>区</w:t>
            </w:r>
            <w:r>
              <w:rPr>
                <w:rFonts w:hint="eastAsia" w:ascii="宋体" w:hAnsi="宋体"/>
                <w:sz w:val="24"/>
                <w:highlight w:val="none"/>
                <w:lang w:val="en-US" w:eastAsia="zh-CN"/>
              </w:rPr>
              <w:t>新山工业园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网址</w:t>
            </w:r>
          </w:p>
        </w:tc>
        <w:tc>
          <w:tcPr>
            <w:tcW w:w="284" w:type="dxa"/>
            <w:tcBorders>
              <w:top w:val="nil"/>
              <w:left w:val="nil"/>
              <w:bottom w:val="nil"/>
              <w:right w:val="nil"/>
            </w:tcBorders>
            <w:tcMar>
              <w:left w:w="0" w:type="dxa"/>
              <w:right w:w="0" w:type="dxa"/>
            </w:tcMar>
            <w:vAlign w:val="center"/>
          </w:tcPr>
          <w:p>
            <w:pPr>
              <w:spacing w:line="400" w:lineRule="exact"/>
              <w:rPr>
                <w:rFonts w:hint="eastAsia" w:ascii="宋体" w:hAnsi="宋体" w:eastAsia="宋体"/>
                <w:sz w:val="24"/>
                <w:szCs w:val="24"/>
              </w:rPr>
            </w:pPr>
            <w:r>
              <w:rPr>
                <w:rFonts w:hint="eastAsia" w:ascii="宋体" w:hAnsi="宋体" w:eastAsia="宋体"/>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fldChar w:fldCharType="begin"/>
            </w:r>
            <w:r>
              <w:rPr>
                <w:rFonts w:hint="eastAsia" w:ascii="宋体" w:hAnsi="宋体" w:eastAsia="宋体"/>
                <w:sz w:val="24"/>
                <w:szCs w:val="24"/>
              </w:rPr>
              <w:instrText xml:space="preserve"> HYPERLINK "https://glzb.geely.com" </w:instrText>
            </w:r>
            <w:r>
              <w:rPr>
                <w:rFonts w:hint="eastAsia" w:ascii="宋体" w:hAnsi="宋体" w:eastAsia="宋体"/>
                <w:sz w:val="24"/>
                <w:szCs w:val="24"/>
              </w:rPr>
              <w:fldChar w:fldCharType="separate"/>
            </w:r>
            <w:r>
              <w:rPr>
                <w:rFonts w:hint="eastAsia" w:ascii="宋体" w:hAnsi="宋体" w:eastAsia="宋体"/>
                <w:sz w:val="24"/>
                <w:szCs w:val="24"/>
              </w:rPr>
              <w:t>https://glzb.geely.com</w:t>
            </w:r>
            <w:r>
              <w:rPr>
                <w:rFonts w:hint="eastAsia" w:ascii="宋体" w:hAnsi="宋体" w:eastAsia="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开户</w:t>
            </w:r>
            <w:r>
              <w:rPr>
                <w:kern w:val="0"/>
                <w:sz w:val="24"/>
                <w:szCs w:val="24"/>
              </w:rPr>
              <w:t>银行</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lang w:eastAsia="zh-CN"/>
              </w:rPr>
            </w:pPr>
            <w:r>
              <w:rPr>
                <w:rFonts w:hint="eastAsia" w:ascii="宋体" w:hAnsi="宋体" w:eastAsia="宋体"/>
                <w:sz w:val="24"/>
                <w:szCs w:val="24"/>
              </w:rPr>
              <w:t>中国建设银行百色分行营业部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银行</w:t>
            </w:r>
            <w:r>
              <w:rPr>
                <w:kern w:val="0"/>
                <w:sz w:val="24"/>
                <w:szCs w:val="24"/>
              </w:rPr>
              <w:t>账号</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t xml:space="preserve">45050167610109666888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center"/>
              <w:rPr>
                <w:rFonts w:hint="eastAsia" w:ascii="宋体" w:hAnsi="宋体" w:eastAsia="宋体"/>
                <w:sz w:val="24"/>
                <w:szCs w:val="24"/>
              </w:rPr>
            </w:pPr>
            <w:r>
              <w:rPr>
                <w:rFonts w:hint="eastAsia" w:ascii="宋体" w:hAnsi="宋体" w:eastAsia="宋体"/>
                <w:sz w:val="24"/>
                <w:szCs w:val="24"/>
              </w:rPr>
              <w:t>联系人</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default" w:ascii="宋体" w:hAnsi="宋体" w:eastAsia="宋体"/>
                <w:sz w:val="24"/>
                <w:szCs w:val="24"/>
                <w:lang w:val="en-US"/>
              </w:rPr>
            </w:pPr>
            <w:r>
              <w:rPr>
                <w:rFonts w:hint="eastAsia" w:ascii="宋体" w:hAnsi="宋体" w:eastAsia="宋体"/>
                <w:sz w:val="24"/>
                <w:szCs w:val="24"/>
                <w:lang w:val="en-US" w:eastAsia="zh-CN"/>
              </w:rPr>
              <w:t>翟荣兴</w:t>
            </w:r>
            <w:r>
              <w:rPr>
                <w:rFonts w:hint="eastAsia" w:ascii="宋体" w:hAnsi="宋体" w:eastAsia="宋体"/>
                <w:sz w:val="24"/>
                <w:szCs w:val="24"/>
              </w:rPr>
              <w:t xml:space="preserve"> </w:t>
            </w:r>
            <w:r>
              <w:rPr>
                <w:rFonts w:hint="eastAsia" w:ascii="宋体" w:hAnsi="宋体" w:eastAsia="宋体"/>
                <w:sz w:val="24"/>
                <w:szCs w:val="24"/>
                <w:lang w:val="en-US" w:eastAsia="zh-CN"/>
              </w:rPr>
              <w:t>18907768303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kern w:val="0"/>
                <w:sz w:val="24"/>
                <w:szCs w:val="24"/>
              </w:rPr>
              <w:t>邮箱</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lang w:val="en-US" w:eastAsia="zh-CN"/>
              </w:rPr>
              <w:t>Rongxing、</w:t>
            </w:r>
            <w:r>
              <w:rPr>
                <w:rFonts w:hint="eastAsia" w:ascii="宋体" w:hAnsi="宋体" w:eastAsia="宋体"/>
                <w:sz w:val="24"/>
                <w:szCs w:val="24"/>
              </w:rPr>
              <w:t>.</w:t>
            </w:r>
            <w:r>
              <w:rPr>
                <w:rFonts w:hint="eastAsia" w:ascii="宋体" w:hAnsi="宋体" w:eastAsia="宋体"/>
                <w:sz w:val="24"/>
                <w:szCs w:val="24"/>
                <w:lang w:val="en-US" w:eastAsia="zh-CN"/>
              </w:rPr>
              <w:t>Zhai</w:t>
            </w:r>
            <w:r>
              <w:rPr>
                <w:rFonts w:hint="eastAsia" w:ascii="宋体" w:hAnsi="宋体" w:eastAsia="宋体"/>
                <w:sz w:val="24"/>
                <w:szCs w:val="24"/>
              </w:rPr>
              <w:t>@geely.com</w:t>
            </w:r>
          </w:p>
        </w:tc>
      </w:tr>
    </w:tbl>
    <w:p>
      <w:pPr>
        <w:tabs>
          <w:tab w:val="left" w:pos="600"/>
        </w:tabs>
        <w:spacing w:line="440" w:lineRule="exact"/>
        <w:rPr>
          <w:rFonts w:ascii="宋体" w:hAnsi="宋体" w:eastAsia="宋体"/>
          <w:sz w:val="24"/>
          <w:szCs w:val="24"/>
        </w:rPr>
      </w:pPr>
      <w:r>
        <w:rPr>
          <w:rFonts w:hint="eastAsia" w:ascii="宋体" w:hAnsi="宋体" w:eastAsia="宋体"/>
          <w:sz w:val="24"/>
          <w:szCs w:val="24"/>
        </w:rPr>
        <w:t>注：无论</w:t>
      </w:r>
      <w:r>
        <w:rPr>
          <w:rFonts w:hint="eastAsia" w:ascii="宋体" w:hAnsi="宋体" w:eastAsia="宋体"/>
          <w:sz w:val="24"/>
          <w:szCs w:val="24"/>
          <w:lang w:val="en-US" w:eastAsia="zh-CN"/>
        </w:rPr>
        <w:t>报价</w:t>
      </w:r>
      <w:r>
        <w:rPr>
          <w:rFonts w:hint="eastAsia" w:ascii="宋体" w:hAnsi="宋体" w:eastAsia="宋体"/>
          <w:sz w:val="24"/>
          <w:szCs w:val="24"/>
        </w:rPr>
        <w:t>结果如何</w:t>
      </w:r>
      <w:r>
        <w:rPr>
          <w:rFonts w:hint="eastAsia" w:ascii="宋体" w:hAnsi="宋体" w:eastAsia="宋体"/>
          <w:sz w:val="24"/>
          <w:szCs w:val="24"/>
          <w:lang w:val="en-US" w:eastAsia="zh-CN"/>
        </w:rPr>
        <w:t>报价</w:t>
      </w:r>
      <w:r>
        <w:rPr>
          <w:rFonts w:hint="eastAsia" w:ascii="宋体" w:hAnsi="宋体" w:eastAsia="宋体"/>
          <w:sz w:val="24"/>
          <w:szCs w:val="24"/>
        </w:rPr>
        <w:t>人自行承担所有与参加</w:t>
      </w:r>
      <w:r>
        <w:rPr>
          <w:rFonts w:hint="eastAsia" w:ascii="宋体" w:hAnsi="宋体" w:eastAsia="宋体"/>
          <w:sz w:val="24"/>
          <w:szCs w:val="24"/>
          <w:lang w:val="en-US" w:eastAsia="zh-CN"/>
        </w:rPr>
        <w:t>采购</w:t>
      </w:r>
      <w:r>
        <w:rPr>
          <w:rFonts w:hint="eastAsia" w:ascii="宋体" w:hAnsi="宋体" w:eastAsia="宋体"/>
          <w:sz w:val="24"/>
          <w:szCs w:val="24"/>
        </w:rPr>
        <w:t>活动有关的全部费用。</w:t>
      </w:r>
    </w:p>
    <w:p>
      <w:pPr>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附件一：询价函</w:t>
      </w:r>
    </w:p>
    <w:p>
      <w:pPr>
        <w:pStyle w:val="3"/>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附件二：</w:t>
      </w:r>
      <w:r>
        <w:rPr>
          <w:rFonts w:hint="eastAsia" w:ascii="宋体" w:hAnsi="宋体" w:eastAsia="宋体" w:cs="宋体"/>
          <w:b w:val="0"/>
          <w:bCs/>
          <w:color w:val="auto"/>
          <w:sz w:val="24"/>
          <w:szCs w:val="24"/>
          <w:lang w:val="en-US" w:eastAsia="zh-CN"/>
        </w:rPr>
        <w:fldChar w:fldCharType="begin"/>
      </w:r>
      <w:r>
        <w:rPr>
          <w:rFonts w:hint="eastAsia" w:ascii="宋体" w:hAnsi="宋体" w:eastAsia="宋体" w:cs="宋体"/>
          <w:b w:val="0"/>
          <w:bCs/>
          <w:color w:val="auto"/>
          <w:sz w:val="24"/>
          <w:szCs w:val="24"/>
          <w:lang w:val="en-US" w:eastAsia="zh-CN"/>
        </w:rPr>
        <w:instrText xml:space="preserve"> HYPERLINK "https://zb.jlbkjt.com/uploads/20230627/9ff8c685211f29176e5c7c6c989b9364.doc" \t "https://zb.jlbkjt.com/kqAVRfHQwX.php/cms/archives/edit/ids/_blank" </w:instrText>
      </w:r>
      <w:r>
        <w:rPr>
          <w:rFonts w:hint="eastAsia" w:ascii="宋体" w:hAnsi="宋体" w:eastAsia="宋体" w:cs="宋体"/>
          <w:b w:val="0"/>
          <w:bCs/>
          <w:color w:val="auto"/>
          <w:sz w:val="24"/>
          <w:szCs w:val="24"/>
          <w:lang w:val="en-US" w:eastAsia="zh-CN"/>
        </w:rPr>
        <w:fldChar w:fldCharType="separate"/>
      </w:r>
      <w:r>
        <w:rPr>
          <w:rFonts w:hint="default" w:ascii="宋体" w:hAnsi="宋体" w:eastAsia="宋体" w:cs="宋体"/>
          <w:b w:val="0"/>
          <w:bCs/>
          <w:color w:val="auto"/>
          <w:sz w:val="24"/>
          <w:szCs w:val="24"/>
          <w:lang w:val="en-US" w:eastAsia="zh-CN"/>
        </w:rPr>
        <w:t>铝轮毂涂装工序油漆技术要求</w:t>
      </w:r>
      <w:r>
        <w:rPr>
          <w:rFonts w:hint="default" w:ascii="宋体" w:hAnsi="宋体" w:eastAsia="宋体" w:cs="宋体"/>
          <w:b w:val="0"/>
          <w:bCs/>
          <w:color w:val="auto"/>
          <w:sz w:val="24"/>
          <w:szCs w:val="24"/>
          <w:lang w:val="en-US" w:eastAsia="zh-CN"/>
        </w:rPr>
        <w:fldChar w:fldCharType="end"/>
      </w:r>
    </w:p>
    <w:p>
      <w:pPr>
        <w:pStyle w:val="3"/>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附件三：采购合同（模板）</w:t>
      </w:r>
    </w:p>
    <w:p>
      <w:pPr>
        <w:pStyle w:val="3"/>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附件四：竞价形式说明</w:t>
      </w:r>
      <w:bookmarkStart w:id="2" w:name="_GoBack"/>
      <w:bookmarkEnd w:id="2"/>
    </w:p>
    <w:p>
      <w:pPr>
        <w:pStyle w:val="3"/>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附件五：参加确认函</w:t>
      </w:r>
    </w:p>
    <w:p>
      <w:pPr>
        <w:pStyle w:val="3"/>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270BBA"/>
    <w:rsid w:val="03B234C9"/>
    <w:rsid w:val="040E12F0"/>
    <w:rsid w:val="052F65AB"/>
    <w:rsid w:val="053C21DA"/>
    <w:rsid w:val="05772429"/>
    <w:rsid w:val="063B27C1"/>
    <w:rsid w:val="06D4386E"/>
    <w:rsid w:val="06F63781"/>
    <w:rsid w:val="090C3760"/>
    <w:rsid w:val="0A2E7D2E"/>
    <w:rsid w:val="0C6C07F6"/>
    <w:rsid w:val="0C7C5845"/>
    <w:rsid w:val="0CAD008F"/>
    <w:rsid w:val="0DE54DDD"/>
    <w:rsid w:val="0E3C3073"/>
    <w:rsid w:val="0E544459"/>
    <w:rsid w:val="0E6C3CDC"/>
    <w:rsid w:val="0EB115E1"/>
    <w:rsid w:val="0EC22769"/>
    <w:rsid w:val="0F076C96"/>
    <w:rsid w:val="113A610C"/>
    <w:rsid w:val="13017E60"/>
    <w:rsid w:val="1323176D"/>
    <w:rsid w:val="136B5FB3"/>
    <w:rsid w:val="13934C8A"/>
    <w:rsid w:val="139B2695"/>
    <w:rsid w:val="17073614"/>
    <w:rsid w:val="17376344"/>
    <w:rsid w:val="18C56ABE"/>
    <w:rsid w:val="18C740FB"/>
    <w:rsid w:val="1A0162CC"/>
    <w:rsid w:val="1B0E6548"/>
    <w:rsid w:val="1C0B4FDF"/>
    <w:rsid w:val="1C4170A8"/>
    <w:rsid w:val="1C5B2F04"/>
    <w:rsid w:val="1EA413BD"/>
    <w:rsid w:val="1F2F4D5A"/>
    <w:rsid w:val="20EE2F4F"/>
    <w:rsid w:val="222F2AD8"/>
    <w:rsid w:val="22B86521"/>
    <w:rsid w:val="24782E39"/>
    <w:rsid w:val="24AF4570"/>
    <w:rsid w:val="256C065C"/>
    <w:rsid w:val="263920D0"/>
    <w:rsid w:val="27FF17B9"/>
    <w:rsid w:val="28266776"/>
    <w:rsid w:val="296119B9"/>
    <w:rsid w:val="29C32E28"/>
    <w:rsid w:val="2A7055D9"/>
    <w:rsid w:val="2ABF4217"/>
    <w:rsid w:val="2B644413"/>
    <w:rsid w:val="2BA16A9E"/>
    <w:rsid w:val="2BB655EB"/>
    <w:rsid w:val="2DE03868"/>
    <w:rsid w:val="2E036B4F"/>
    <w:rsid w:val="2EC90F2A"/>
    <w:rsid w:val="2F1D76D7"/>
    <w:rsid w:val="2F2E0DD3"/>
    <w:rsid w:val="2F3A599D"/>
    <w:rsid w:val="30530CB9"/>
    <w:rsid w:val="31E34950"/>
    <w:rsid w:val="334F7CF1"/>
    <w:rsid w:val="33512E4B"/>
    <w:rsid w:val="337C12F0"/>
    <w:rsid w:val="33A5028C"/>
    <w:rsid w:val="33AF25AD"/>
    <w:rsid w:val="340A6022"/>
    <w:rsid w:val="34CB5BC3"/>
    <w:rsid w:val="34E47465"/>
    <w:rsid w:val="3523054D"/>
    <w:rsid w:val="362C5540"/>
    <w:rsid w:val="37FD118C"/>
    <w:rsid w:val="382C4A36"/>
    <w:rsid w:val="38AC6F88"/>
    <w:rsid w:val="3973401F"/>
    <w:rsid w:val="3A3E06A3"/>
    <w:rsid w:val="3A995564"/>
    <w:rsid w:val="3AF07A24"/>
    <w:rsid w:val="3B0722D4"/>
    <w:rsid w:val="3B2A12CD"/>
    <w:rsid w:val="3BDF1884"/>
    <w:rsid w:val="3E4F3034"/>
    <w:rsid w:val="3EFB08B9"/>
    <w:rsid w:val="40541F75"/>
    <w:rsid w:val="408373C1"/>
    <w:rsid w:val="409E30A8"/>
    <w:rsid w:val="40A42597"/>
    <w:rsid w:val="40FC4CB0"/>
    <w:rsid w:val="41034C6C"/>
    <w:rsid w:val="453D4A8D"/>
    <w:rsid w:val="45792638"/>
    <w:rsid w:val="45A92F0D"/>
    <w:rsid w:val="46BC3B00"/>
    <w:rsid w:val="47AB2817"/>
    <w:rsid w:val="487415C3"/>
    <w:rsid w:val="48C9616B"/>
    <w:rsid w:val="4AAA717F"/>
    <w:rsid w:val="4B45585D"/>
    <w:rsid w:val="4B922185"/>
    <w:rsid w:val="4F3E52A8"/>
    <w:rsid w:val="4F586394"/>
    <w:rsid w:val="4F5C1C0C"/>
    <w:rsid w:val="502D133B"/>
    <w:rsid w:val="51000484"/>
    <w:rsid w:val="536F00DE"/>
    <w:rsid w:val="537416DA"/>
    <w:rsid w:val="53FA3250"/>
    <w:rsid w:val="54A514A8"/>
    <w:rsid w:val="55497E47"/>
    <w:rsid w:val="560144FC"/>
    <w:rsid w:val="561B446B"/>
    <w:rsid w:val="56B26B95"/>
    <w:rsid w:val="57795517"/>
    <w:rsid w:val="57C021E2"/>
    <w:rsid w:val="5A121AA8"/>
    <w:rsid w:val="5AC801DA"/>
    <w:rsid w:val="5B2172A6"/>
    <w:rsid w:val="5C933674"/>
    <w:rsid w:val="5D010967"/>
    <w:rsid w:val="5EED37AD"/>
    <w:rsid w:val="5F315917"/>
    <w:rsid w:val="60934C78"/>
    <w:rsid w:val="60E72CCD"/>
    <w:rsid w:val="60FC4012"/>
    <w:rsid w:val="6106280A"/>
    <w:rsid w:val="617667AE"/>
    <w:rsid w:val="618F164B"/>
    <w:rsid w:val="61A241F9"/>
    <w:rsid w:val="62976BA7"/>
    <w:rsid w:val="62D46057"/>
    <w:rsid w:val="63EF192E"/>
    <w:rsid w:val="65BB3DCB"/>
    <w:rsid w:val="665A118E"/>
    <w:rsid w:val="66BB5779"/>
    <w:rsid w:val="66D01BEB"/>
    <w:rsid w:val="67714B74"/>
    <w:rsid w:val="682806B6"/>
    <w:rsid w:val="69E31C1A"/>
    <w:rsid w:val="6A10790E"/>
    <w:rsid w:val="6AE650D0"/>
    <w:rsid w:val="6B3E03B6"/>
    <w:rsid w:val="6BE91E82"/>
    <w:rsid w:val="6C4538C5"/>
    <w:rsid w:val="6D260567"/>
    <w:rsid w:val="6E1038D1"/>
    <w:rsid w:val="6EA76F13"/>
    <w:rsid w:val="6F5D25CA"/>
    <w:rsid w:val="70C24E21"/>
    <w:rsid w:val="716B46DE"/>
    <w:rsid w:val="724F2B10"/>
    <w:rsid w:val="728F17A7"/>
    <w:rsid w:val="72AE035B"/>
    <w:rsid w:val="72E55401"/>
    <w:rsid w:val="72E96F62"/>
    <w:rsid w:val="739B4A85"/>
    <w:rsid w:val="73B93F82"/>
    <w:rsid w:val="74261A49"/>
    <w:rsid w:val="74735DC6"/>
    <w:rsid w:val="7600251B"/>
    <w:rsid w:val="76444236"/>
    <w:rsid w:val="76BF0406"/>
    <w:rsid w:val="7A53275F"/>
    <w:rsid w:val="7BC82BC7"/>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link w:val="16"/>
    <w:unhideWhenUsed/>
    <w:qFormat/>
    <w:uiPriority w:val="1"/>
    <w:rPr>
      <w:kern w:val="1"/>
    </w:rPr>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qFormat/>
    <w:uiPriority w:val="0"/>
    <w:rPr>
      <w:kern w:val="1"/>
    </w:rPr>
  </w:style>
  <w:style w:type="character" w:styleId="17">
    <w:name w:val="Strong"/>
    <w:basedOn w:val="15"/>
    <w:qFormat/>
    <w:uiPriority w:val="22"/>
    <w:rPr>
      <w:b/>
      <w:bCs/>
    </w:rPr>
  </w:style>
  <w:style w:type="character" w:styleId="18">
    <w:name w:val="page number"/>
    <w:basedOn w:val="15"/>
    <w:qFormat/>
    <w:uiPriority w:val="0"/>
  </w:style>
  <w:style w:type="character" w:styleId="19">
    <w:name w:val="FollowedHyperlink"/>
    <w:basedOn w:val="15"/>
    <w:unhideWhenUsed/>
    <w:qFormat/>
    <w:uiPriority w:val="99"/>
    <w:rPr>
      <w:color w:val="800080" w:themeColor="followedHyperlink"/>
      <w:u w:val="single"/>
      <w14:textFill>
        <w14:solidFill>
          <w14:schemeClr w14:val="folHlink"/>
        </w14:solidFill>
      </w14:textFill>
    </w:rPr>
  </w:style>
  <w:style w:type="character" w:styleId="20">
    <w:name w:val="Emphasis"/>
    <w:basedOn w:val="15"/>
    <w:qFormat/>
    <w:uiPriority w:val="20"/>
    <w:rPr>
      <w:i/>
    </w:rPr>
  </w:style>
  <w:style w:type="character" w:styleId="21">
    <w:name w:val="Hyperlink"/>
    <w:basedOn w:val="15"/>
    <w:unhideWhenUsed/>
    <w:qFormat/>
    <w:uiPriority w:val="99"/>
    <w:rPr>
      <w:color w:val="0000FF"/>
      <w:u w:val="none"/>
    </w:rPr>
  </w:style>
  <w:style w:type="character" w:styleId="22">
    <w:name w:val="annotation reference"/>
    <w:basedOn w:val="15"/>
    <w:unhideWhenUsed/>
    <w:qFormat/>
    <w:uiPriority w:val="99"/>
    <w:rPr>
      <w:sz w:val="21"/>
      <w:szCs w:val="21"/>
    </w:rPr>
  </w:style>
  <w:style w:type="character" w:customStyle="1" w:styleId="23">
    <w:name w:val="页眉 Char"/>
    <w:basedOn w:val="15"/>
    <w:link w:val="11"/>
    <w:qFormat/>
    <w:uiPriority w:val="99"/>
    <w:rPr>
      <w:sz w:val="18"/>
      <w:szCs w:val="18"/>
    </w:rPr>
  </w:style>
  <w:style w:type="character" w:customStyle="1" w:styleId="24">
    <w:name w:val="页脚 Char"/>
    <w:basedOn w:val="15"/>
    <w:link w:val="10"/>
    <w:qFormat/>
    <w:uiPriority w:val="99"/>
    <w:rPr>
      <w:sz w:val="18"/>
      <w:szCs w:val="18"/>
    </w:rPr>
  </w:style>
  <w:style w:type="character" w:customStyle="1" w:styleId="25">
    <w:name w:val="日期 Char"/>
    <w:basedOn w:val="15"/>
    <w:link w:val="8"/>
    <w:semiHidden/>
    <w:qFormat/>
    <w:uiPriority w:val="99"/>
  </w:style>
  <w:style w:type="paragraph" w:customStyle="1" w:styleId="26">
    <w:name w:val="List Paragraph"/>
    <w:basedOn w:val="1"/>
    <w:qFormat/>
    <w:uiPriority w:val="34"/>
    <w:pPr>
      <w:ind w:firstLine="420" w:firstLineChars="200"/>
    </w:pPr>
  </w:style>
  <w:style w:type="character" w:customStyle="1" w:styleId="27">
    <w:name w:val="批注文字 Char"/>
    <w:basedOn w:val="15"/>
    <w:link w:val="7"/>
    <w:semiHidden/>
    <w:qFormat/>
    <w:uiPriority w:val="99"/>
  </w:style>
  <w:style w:type="character" w:customStyle="1" w:styleId="28">
    <w:name w:val="批注框文本 Char"/>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pPr>
      <w:spacing w:beforeLines="0" w:afterLines="0"/>
    </w:pPr>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1699</Words>
  <Characters>1944</Characters>
  <Lines>13</Lines>
  <Paragraphs>3</Paragraphs>
  <TotalTime>1</TotalTime>
  <ScaleCrop>false</ScaleCrop>
  <LinksUpToDate>false</LinksUpToDate>
  <CharactersWithSpaces>2010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2023-06-27T03:23:52Z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