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b w:val="0"/>
          <w:bCs w:val="0"/>
          <w:color w:val="auto"/>
          <w:kern w:val="0"/>
          <w:sz w:val="32"/>
          <w:szCs w:val="32"/>
          <w:highlight w:val="none"/>
        </w:rPr>
      </w:pPr>
      <w:bookmarkStart w:id="0" w:name="_Toc350209938"/>
      <w:bookmarkEnd w:id="0"/>
      <w:r>
        <w:rPr>
          <w:rFonts w:hint="eastAsia" w:ascii="微软雅黑" w:hAnsi="微软雅黑" w:eastAsia="微软雅黑" w:cs="微软雅黑"/>
          <w:b w:val="0"/>
          <w:bCs w:val="0"/>
          <w:color w:val="auto"/>
          <w:kern w:val="0"/>
          <w:sz w:val="28"/>
          <w:szCs w:val="28"/>
          <w:highlight w:val="none"/>
          <w:lang w:val="en-US" w:eastAsia="zh-CN"/>
        </w:rPr>
        <w:t>东怀煤矿、州景煤矿</w:t>
      </w:r>
      <w:r>
        <w:rPr>
          <w:rFonts w:hint="eastAsia" w:ascii="微软雅黑" w:hAnsi="微软雅黑" w:eastAsia="微软雅黑" w:cs="微软雅黑"/>
          <w:b w:val="0"/>
          <w:bCs w:val="0"/>
          <w:color w:val="auto"/>
          <w:kern w:val="0"/>
          <w:sz w:val="32"/>
          <w:szCs w:val="32"/>
          <w:highlight w:val="none"/>
        </w:rPr>
        <w:t xml:space="preserve"> </w:t>
      </w:r>
    </w:p>
    <w:p>
      <w:pPr>
        <w:widowControl/>
        <w:jc w:val="center"/>
        <w:rPr>
          <w:rFonts w:hint="default" w:ascii="微软雅黑" w:hAnsi="微软雅黑" w:eastAsia="微软雅黑" w:cs="微软雅黑"/>
          <w:b w:val="0"/>
          <w:bCs w:val="0"/>
          <w:color w:val="auto"/>
          <w:sz w:val="32"/>
          <w:szCs w:val="32"/>
          <w:highlight w:val="none"/>
          <w:lang w:val="en-US"/>
        </w:rPr>
      </w:pPr>
      <w:r>
        <w:rPr>
          <w:rFonts w:hint="eastAsia" w:ascii="微软雅黑" w:hAnsi="微软雅黑" w:eastAsia="微软雅黑" w:cs="微软雅黑"/>
          <w:b/>
          <w:bCs/>
          <w:color w:val="auto"/>
          <w:kern w:val="0"/>
          <w:sz w:val="32"/>
          <w:szCs w:val="32"/>
          <w:highlight w:val="none"/>
          <w:lang w:val="en-US" w:eastAsia="zh-CN"/>
        </w:rPr>
        <w:t>采煤机配件采购项目技术任务书</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东怀煤矿、州景煤矿</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东怀煤矿、州景煤矿采煤机配件采购项目</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项目地点：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广西百色市右江区、田东县</w:t>
      </w:r>
      <w:r>
        <w:rPr>
          <w:rFonts w:hint="eastAsia" w:ascii="宋体" w:hAnsi="宋体" w:cs="宋体"/>
          <w:color w:val="auto"/>
          <w:sz w:val="24"/>
          <w:szCs w:val="24"/>
          <w:highlight w:val="none"/>
          <w:lang w:val="en-US" w:eastAsia="zh-CN"/>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双田公司下属东怀、州景煤矿，2023年因生产需要采购采煤机配件</w:t>
      </w:r>
      <w:r>
        <w:rPr>
          <w:rFonts w:hint="eastAsia" w:ascii="宋体" w:hAnsi="宋体" w:eastAsia="宋体" w:cs="宋体"/>
          <w:b w:val="0"/>
          <w:i w:val="0"/>
          <w:caps w:val="0"/>
          <w:color w:val="auto"/>
          <w:spacing w:val="0"/>
          <w:w w:val="100"/>
          <w:sz w:val="24"/>
          <w:szCs w:val="24"/>
          <w:highlight w:val="none"/>
          <w:lang w:val="en-US" w:eastAsia="zh-CN"/>
        </w:rPr>
        <w:t>一批</w:t>
      </w:r>
      <w:r>
        <w:rPr>
          <w:rFonts w:hint="eastAsia" w:ascii="宋体" w:hAnsi="宋体" w:eastAsia="宋体" w:cs="宋体"/>
          <w:color w:val="auto"/>
          <w:sz w:val="24"/>
          <w:szCs w:val="24"/>
          <w:highlight w:val="none"/>
          <w:lang w:val="en-US" w:eastAsia="zh-CN"/>
        </w:rPr>
        <w:t>。</w:t>
      </w:r>
    </w:p>
    <w:p>
      <w:pPr>
        <w:pStyle w:val="2"/>
        <w:rPr>
          <w:rFonts w:hint="eastAsia"/>
          <w:lang w:val="en-US" w:eastAsia="zh-CN"/>
        </w:rPr>
      </w:pPr>
    </w:p>
    <w:tbl>
      <w:tblPr>
        <w:tblStyle w:val="10"/>
        <w:tblpPr w:leftFromText="180" w:rightFromText="180" w:vertAnchor="text" w:horzAnchor="page" w:tblpX="1549" w:tblpY="1257"/>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716"/>
        <w:gridCol w:w="1509"/>
        <w:gridCol w:w="2036"/>
        <w:gridCol w:w="819"/>
        <w:gridCol w:w="76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型号规格</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原生产厂家、机型</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highlight w:val="none"/>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驱动轮</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MKA07-7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无锡盛达380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4</w:t>
            </w:r>
          </w:p>
        </w:tc>
        <w:tc>
          <w:tcPr>
            <w:tcW w:w="1418"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东怀煤矿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行星机构</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MKA0201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无锡盛达380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1</w:t>
            </w:r>
          </w:p>
        </w:tc>
        <w:tc>
          <w:tcPr>
            <w:tcW w:w="141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东怀煤矿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导向滑靴</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MKA07-6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无锡盛达380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东怀煤矿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行走轮组</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MKA0701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无锡盛达380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东怀煤矿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撬板</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MKA04-8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无锡盛达380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东怀煤矿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平板滑靴</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9JZ05-01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山能重装500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0"/>
                <w:szCs w:val="20"/>
                <w:u w:val="none"/>
                <w:lang w:val="en-US" w:eastAsia="zh-CN" w:bidi="ar"/>
              </w:rPr>
              <w:t>州景煤矿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导向滑靴</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9JZ05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山能重装500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0"/>
                <w:szCs w:val="20"/>
                <w:u w:val="none"/>
                <w:lang w:val="en-US" w:eastAsia="zh-CN" w:bidi="ar"/>
              </w:rPr>
              <w:t>州景煤矿</w:t>
            </w:r>
          </w:p>
        </w:tc>
      </w:tr>
    </w:tbl>
    <w:p>
      <w:pPr>
        <w:pStyle w:val="2"/>
        <w:rPr>
          <w:rFonts w:hint="eastAsia"/>
          <w:lang w:val="en-US" w:eastAsia="zh-CN"/>
        </w:rPr>
      </w:pPr>
    </w:p>
    <w:p>
      <w:pPr>
        <w:keepNext w:val="0"/>
        <w:keepLines w:val="0"/>
        <w:pageBreakBefore w:val="0"/>
        <w:numPr>
          <w:ilvl w:val="0"/>
          <w:numId w:val="2"/>
        </w:numPr>
        <w:shd w:val="clear"/>
        <w:kinsoku/>
        <w:wordWrap/>
        <w:overflowPunct/>
        <w:topLinePunct w:val="0"/>
        <w:autoSpaceDE/>
        <w:autoSpaceDN/>
        <w:bidi w:val="0"/>
        <w:adjustRightInd/>
        <w:snapToGrid/>
        <w:spacing w:line="2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项目清单</w:t>
      </w:r>
    </w:p>
    <w:p>
      <w:pPr>
        <w:snapToGrid/>
        <w:spacing w:before="0" w:beforeAutospacing="0" w:after="0" w:afterAutospacing="0" w:line="240" w:lineRule="auto"/>
        <w:jc w:val="both"/>
        <w:textAlignment w:val="baseline"/>
        <w:rPr>
          <w:rFonts w:hint="eastAsia" w:eastAsia="仿宋"/>
          <w:b/>
          <w:bCs/>
          <w:i w:val="0"/>
          <w:caps w:val="0"/>
          <w:color w:val="auto"/>
          <w:spacing w:val="0"/>
          <w:w w:val="100"/>
          <w:sz w:val="24"/>
          <w:szCs w:val="32"/>
          <w:highlight w:val="none"/>
          <w:lang w:val="en-US" w:eastAsia="zh-CN"/>
        </w:rPr>
      </w:pPr>
    </w:p>
    <w:p>
      <w:pPr>
        <w:pStyle w:val="4"/>
        <w:numPr>
          <w:ilvl w:val="0"/>
          <w:numId w:val="0"/>
        </w:numPr>
        <w:tabs>
          <w:tab w:val="clear" w:pos="1134"/>
        </w:tabs>
        <w:ind w:leftChars="0"/>
        <w:rPr>
          <w:rFonts w:hint="default"/>
          <w:color w:val="auto"/>
          <w:highlight w:val="none"/>
          <w:lang w:val="en-US" w:eastAsia="zh-CN"/>
        </w:rPr>
      </w:pPr>
    </w:p>
    <w:p>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、设计、生产、制造、安装、检验检测所需资质文件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《煤矿安全规程》</w:t>
      </w:r>
      <w:r>
        <w:rPr>
          <w:rFonts w:hint="eastAsia" w:ascii="宋体" w:hAnsi="宋体" w:eastAsia="宋体" w:cs="宋体"/>
          <w:color w:val="auto"/>
          <w:sz w:val="24"/>
          <w:szCs w:val="24"/>
          <w:highlight w:val="none"/>
          <w:lang w:val="en-US" w:eastAsia="zh-CN"/>
        </w:rPr>
        <w:t>最新</w:t>
      </w:r>
      <w:r>
        <w:rPr>
          <w:rFonts w:hint="eastAsia" w:ascii="宋体" w:hAnsi="宋体" w:eastAsia="宋体" w:cs="宋体"/>
          <w:color w:val="auto"/>
          <w:sz w:val="24"/>
          <w:szCs w:val="24"/>
          <w:highlight w:val="none"/>
        </w:rPr>
        <w:t>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《滚筒采煤机通用技术条件》GB/T 35060—2018</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《滚筒采煤机出厂检验规范》MT/T 82-1998</w:t>
      </w:r>
    </w:p>
    <w:p>
      <w:pPr>
        <w:spacing w:line="360" w:lineRule="auto"/>
        <w:ind w:firstLine="480" w:firstLineChars="200"/>
        <w:rPr>
          <w:rFonts w:hint="eastAsia" w:ascii="宋体" w:hAnsi="宋体" w:eastAsia="宋体" w:cs="宋体"/>
          <w:color w:val="auto"/>
          <w:sz w:val="24"/>
          <w:szCs w:val="24"/>
          <w:highlight w:val="none"/>
        </w:rPr>
      </w:pPr>
      <w:bookmarkStart w:id="2" w:name="_GoBack"/>
      <w:bookmarkEnd w:id="2"/>
      <w:r>
        <w:rPr>
          <w:rFonts w:hint="eastAsia" w:ascii="宋体" w:hAnsi="宋体" w:eastAsia="宋体" w:cs="宋体"/>
          <w:color w:val="auto"/>
          <w:sz w:val="24"/>
          <w:szCs w:val="24"/>
          <w:highlight w:val="yellow"/>
        </w:rPr>
        <w:t>提供</w:t>
      </w:r>
      <w:r>
        <w:rPr>
          <w:rFonts w:hint="eastAsia" w:ascii="宋体" w:hAnsi="宋体" w:eastAsia="宋体" w:cs="宋体"/>
          <w:color w:val="auto"/>
          <w:sz w:val="24"/>
          <w:szCs w:val="24"/>
          <w:highlight w:val="yellow"/>
          <w:lang w:val="en-US" w:eastAsia="zh-CN"/>
        </w:rPr>
        <w:t>零部件生产厂家签发的</w:t>
      </w:r>
      <w:r>
        <w:rPr>
          <w:rFonts w:hint="eastAsia" w:ascii="宋体" w:hAnsi="宋体" w:eastAsia="宋体" w:cs="宋体"/>
          <w:color w:val="auto"/>
          <w:sz w:val="24"/>
          <w:szCs w:val="24"/>
          <w:highlight w:val="yellow"/>
        </w:rPr>
        <w:t>质量检验合格证、检验试验报告、生产许可证</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none"/>
          <w:lang w:eastAsia="zh-CN"/>
        </w:rPr>
        <w:t>纳入煤安标志管理目录的，必须提供该产品的矿用产品安全标志证书；纳入防爆合格证管理目录的必须提供该产品的防爆合格证</w:t>
      </w:r>
      <w:r>
        <w:rPr>
          <w:rFonts w:hint="eastAsia" w:ascii="宋体" w:hAnsi="宋体" w:eastAsia="宋体" w:cs="宋体"/>
          <w:color w:val="auto"/>
          <w:sz w:val="24"/>
          <w:szCs w:val="24"/>
          <w:highlight w:val="none"/>
        </w:rPr>
        <w:t>。</w:t>
      </w:r>
    </w:p>
    <w:p>
      <w:pPr>
        <w:pStyle w:val="3"/>
        <w:pageBreakBefore w:val="0"/>
        <w:kinsoku/>
        <w:wordWrap/>
        <w:overflowPunct/>
        <w:topLinePunct w:val="0"/>
        <w:autoSpaceDE/>
        <w:autoSpaceDN/>
        <w:bidi w:val="0"/>
        <w:spacing w:line="360" w:lineRule="auto"/>
        <w:ind w:right="0" w:rightChars="0"/>
        <w:jc w:val="both"/>
        <w:rPr>
          <w:rFonts w:hint="eastAsia" w:ascii="宋体" w:hAnsi="宋体" w:eastAsia="宋体" w:cs="宋体"/>
          <w:color w:val="auto"/>
          <w:sz w:val="24"/>
          <w:szCs w:val="24"/>
          <w:highlight w:val="none"/>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技术性能质量要求总原则：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技术任务书</w:t>
      </w:r>
      <w:r>
        <w:rPr>
          <w:rFonts w:hint="eastAsia" w:ascii="宋体" w:hAnsi="宋体" w:eastAsia="宋体" w:cs="宋体"/>
          <w:color w:val="auto"/>
          <w:sz w:val="24"/>
          <w:szCs w:val="24"/>
          <w:highlight w:val="none"/>
        </w:rPr>
        <w:t>试提出的技术质量要求，为最低的技术质量要求，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应提供满足本要求或更高标准的合格产品。</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技术任务书</w:t>
      </w:r>
      <w:r>
        <w:rPr>
          <w:rFonts w:hint="eastAsia" w:ascii="宋体" w:hAnsi="宋体" w:eastAsia="宋体" w:cs="宋体"/>
          <w:color w:val="auto"/>
          <w:sz w:val="24"/>
          <w:szCs w:val="24"/>
          <w:highlight w:val="none"/>
        </w:rPr>
        <w:t>提出了部分技术标准，但不限于这些标准，若国家有更高、更新版本的技术标准，则执行国家新的、更高的标准。</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应认真阅读本</w:t>
      </w:r>
      <w:r>
        <w:rPr>
          <w:rFonts w:hint="eastAsia" w:ascii="宋体" w:hAnsi="宋体" w:eastAsia="宋体" w:cs="宋体"/>
          <w:color w:val="auto"/>
          <w:sz w:val="24"/>
          <w:szCs w:val="24"/>
          <w:highlight w:val="none"/>
          <w:lang w:val="en-US" w:eastAsia="zh-CN"/>
        </w:rPr>
        <w:t>技术任务书</w:t>
      </w:r>
      <w:r>
        <w:rPr>
          <w:rFonts w:hint="eastAsia" w:ascii="宋体" w:hAnsi="宋体" w:eastAsia="宋体" w:cs="宋体"/>
          <w:color w:val="auto"/>
          <w:sz w:val="24"/>
          <w:szCs w:val="24"/>
          <w:highlight w:val="none"/>
        </w:rPr>
        <w:t>，若有缺陷，应以书面形式与需方共同完善，最终以保证设备正常运行为原则。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必须对外购件进行检查、实验、验收，确保外购件的质量，并对其质量负责。</w:t>
      </w:r>
    </w:p>
    <w:p>
      <w:pPr>
        <w:pStyle w:val="4"/>
        <w:numPr>
          <w:ilvl w:val="0"/>
          <w:numId w:val="0"/>
        </w:numPr>
        <w:tabs>
          <w:tab w:val="clear" w:pos="1134"/>
        </w:tabs>
        <w:ind w:leftChars="0" w:firstLine="480" w:firstLineChars="200"/>
        <w:jc w:val="both"/>
        <w:rPr>
          <w:rFonts w:hint="default"/>
          <w:color w:val="auto"/>
          <w:sz w:val="24"/>
          <w:szCs w:val="24"/>
          <w:highlight w:val="none"/>
          <w:lang w:val="en-US" w:eastAsia="zh-CN"/>
        </w:rPr>
      </w:pPr>
      <w:r>
        <w:rPr>
          <w:rFonts w:hint="eastAsia" w:ascii="宋体" w:hAnsi="宋体" w:eastAsia="宋体" w:cs="宋体"/>
          <w:b w:val="0"/>
          <w:bCs/>
          <w:color w:val="auto"/>
          <w:sz w:val="24"/>
          <w:szCs w:val="24"/>
          <w:highlight w:val="none"/>
        </w:rPr>
        <w:t>本</w:t>
      </w:r>
      <w:r>
        <w:rPr>
          <w:rFonts w:hint="eastAsia" w:ascii="宋体" w:hAnsi="宋体" w:eastAsia="宋体" w:cs="宋体"/>
          <w:color w:val="auto"/>
          <w:sz w:val="24"/>
          <w:szCs w:val="24"/>
          <w:highlight w:val="none"/>
          <w:lang w:val="en-US" w:eastAsia="zh-CN"/>
        </w:rPr>
        <w:t>技术任务书</w:t>
      </w:r>
      <w:r>
        <w:rPr>
          <w:rFonts w:hint="eastAsia" w:ascii="宋体" w:hAnsi="宋体" w:eastAsia="宋体" w:cs="宋体"/>
          <w:b w:val="0"/>
          <w:bCs/>
          <w:color w:val="auto"/>
          <w:sz w:val="24"/>
          <w:szCs w:val="24"/>
          <w:highlight w:val="none"/>
        </w:rPr>
        <w:t>所使用的标准如与投标人所执行的标准发生矛盾时，以较高标准执行。</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、使用环境及范围</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1.工作环境条件：有瓦斯、煤尘，空气潮湿，空气湿度大于90%； </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2.适应倾角：≤</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3.设备需要适应的环境温度：最高温度+</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 xml:space="preserve">℃，最低温度0℃；  </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lang w:eastAsia="zh-CN"/>
        </w:rPr>
        <w:t xml:space="preserve">.无蒸汽或破坏金属和绝缘材料的腐蚀性气体的场所； </w:t>
      </w:r>
    </w:p>
    <w:p>
      <w:pPr>
        <w:pageBreakBefore w:val="0"/>
        <w:shd w:val="clear"/>
        <w:kinsoku/>
        <w:wordWrap/>
        <w:overflowPunct/>
        <w:topLinePunct w:val="0"/>
        <w:bidi w:val="0"/>
        <w:spacing w:line="360" w:lineRule="auto"/>
        <w:ind w:left="720" w:leftChars="150" w:hanging="240" w:hanging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 xml:space="preserve">.工作环境允许存在淋水情况；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 xml:space="preserve"> </w:t>
      </w:r>
    </w:p>
    <w:p>
      <w:pPr>
        <w:keepNext w:val="0"/>
        <w:keepLines w:val="0"/>
        <w:pageBreakBefore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技术要求</w:t>
      </w:r>
      <w:bookmarkStart w:id="1" w:name="_Hlk40094107"/>
    </w:p>
    <w:p>
      <w:pPr>
        <w:pStyle w:val="9"/>
        <w:spacing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6.1 采煤机配件的型号、规格：按设备清单的型号规格，具体的技术参数及安装尺寸，在签合同前乙方需跟甲方需求单位确认，如因未确认清楚所造成的损失由乙方自行承担。</w:t>
      </w:r>
    </w:p>
    <w:p>
      <w:pPr>
        <w:pStyle w:val="12"/>
        <w:pageBreakBefore w:val="0"/>
        <w:numPr>
          <w:ilvl w:val="0"/>
          <w:numId w:val="0"/>
        </w:numPr>
        <w:shd w:val="clear"/>
        <w:kinsoku/>
        <w:wordWrap/>
        <w:overflowPunct/>
        <w:topLinePunct w:val="0"/>
        <w:bidi w:val="0"/>
        <w:adjustRightInd w:val="0"/>
        <w:spacing w:line="360" w:lineRule="auto"/>
        <w:ind w:firstLine="480"/>
        <w:jc w:val="both"/>
        <w:textAlignment w:val="auto"/>
        <w:rPr>
          <w:rFonts w:hint="default"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 配件材质及加工要求：</w:t>
      </w:r>
    </w:p>
    <w:p>
      <w:pPr>
        <w:pStyle w:val="12"/>
        <w:pageBreakBefore w:val="0"/>
        <w:numPr>
          <w:ilvl w:val="0"/>
          <w:numId w:val="0"/>
        </w:numPr>
        <w:shd w:val="clear"/>
        <w:kinsoku/>
        <w:wordWrap/>
        <w:overflowPunct/>
        <w:topLinePunct w:val="0"/>
        <w:bidi w:val="0"/>
        <w:adjustRightInd w:val="0"/>
        <w:spacing w:line="360" w:lineRule="auto"/>
        <w:ind w:firstLine="480" w:firstLineChars="200"/>
        <w:jc w:val="both"/>
        <w:textAlignment w:val="auto"/>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6.2.1乙方必须保证该配件或制造该配件的材料是全新、未使用过的，并完全符合采煤机整机规定的质量、规格和材质的要求。在质保期内因本身质量而发生的经济损失由供方承担。</w:t>
      </w:r>
    </w:p>
    <w:p>
      <w:pPr>
        <w:pStyle w:val="12"/>
        <w:pageBreakBefore w:val="0"/>
        <w:numPr>
          <w:ilvl w:val="0"/>
          <w:numId w:val="0"/>
        </w:numPr>
        <w:shd w:val="clear"/>
        <w:kinsoku/>
        <w:wordWrap/>
        <w:overflowPunct/>
        <w:topLinePunct w:val="0"/>
        <w:bidi w:val="0"/>
        <w:adjustRightInd w:val="0"/>
        <w:spacing w:line="360" w:lineRule="auto"/>
        <w:ind w:firstLine="480" w:firstLineChars="200"/>
        <w:jc w:val="both"/>
        <w:textAlignment w:val="auto"/>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6.2.2行走轮使用18Cr2Ni4Wu高强度中合金渗碳钢材料，采用电渣重熔钢锻造工艺制造，抗拉强度≥1080MPa，屈服强度≥930MPa；</w:t>
      </w:r>
    </w:p>
    <w:p>
      <w:pPr>
        <w:pStyle w:val="12"/>
        <w:pageBreakBefore w:val="0"/>
        <w:numPr>
          <w:ilvl w:val="0"/>
          <w:numId w:val="0"/>
        </w:numPr>
        <w:shd w:val="clear"/>
        <w:kinsoku/>
        <w:wordWrap/>
        <w:overflowPunct/>
        <w:topLinePunct w:val="0"/>
        <w:bidi w:val="0"/>
        <w:adjustRightInd w:val="0"/>
        <w:spacing w:line="360" w:lineRule="auto"/>
        <w:ind w:firstLine="480" w:firstLineChars="200"/>
        <w:jc w:val="both"/>
        <w:textAlignment w:val="auto"/>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6.2.3传动齿轮精度等级7级，采用18Cr2Ni4Wu优质合金钢，进行齿面渗碳，整体淬火，有效硬化层深度≥1.4mm，齿面硬度≥HRC52；</w:t>
      </w:r>
    </w:p>
    <w:p>
      <w:pPr>
        <w:pStyle w:val="12"/>
        <w:pageBreakBefore w:val="0"/>
        <w:numPr>
          <w:ilvl w:val="0"/>
          <w:numId w:val="0"/>
        </w:numPr>
        <w:shd w:val="clear"/>
        <w:kinsoku/>
        <w:wordWrap/>
        <w:overflowPunct/>
        <w:topLinePunct w:val="0"/>
        <w:bidi w:val="0"/>
        <w:adjustRightInd w:val="0"/>
        <w:spacing w:line="360" w:lineRule="auto"/>
        <w:ind w:firstLine="480" w:firstLineChars="200"/>
        <w:jc w:val="both"/>
        <w:textAlignment w:val="auto"/>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6.2.4 滑靴使用合金钢材料，材料抗拉强度≥980MPa，屈服强度≥835MPa；滑靴耐磨层使用TD60以上焊条堆焊，耐磨层厚度≥6mm，硬度HRC≥52；</w:t>
      </w:r>
    </w:p>
    <w:p>
      <w:pPr>
        <w:pStyle w:val="12"/>
        <w:pageBreakBefore w:val="0"/>
        <w:numPr>
          <w:ilvl w:val="0"/>
          <w:numId w:val="0"/>
        </w:numPr>
        <w:shd w:val="clear"/>
        <w:kinsoku/>
        <w:wordWrap/>
        <w:overflowPunct/>
        <w:topLinePunct w:val="0"/>
        <w:bidi w:val="0"/>
        <w:adjustRightInd w:val="0"/>
        <w:spacing w:line="360" w:lineRule="auto"/>
        <w:ind w:firstLine="480" w:firstLineChars="200"/>
        <w:jc w:val="both"/>
        <w:textAlignment w:val="auto"/>
        <w:rPr>
          <w:rFonts w:hint="default"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6.2.5 行星机构、摇臂、行走部、驱动部等关键部分的轴承、油封选用进口轴承和油封。</w:t>
      </w:r>
    </w:p>
    <w:p>
      <w:pPr>
        <w:pStyle w:val="12"/>
        <w:pageBreakBefore w:val="0"/>
        <w:numPr>
          <w:ilvl w:val="0"/>
          <w:numId w:val="0"/>
        </w:numPr>
        <w:shd w:val="clear"/>
        <w:kinsoku/>
        <w:wordWrap/>
        <w:overflowPunct/>
        <w:topLinePunct w:val="0"/>
        <w:bidi w:val="0"/>
        <w:adjustRightInd w:val="0"/>
        <w:spacing w:line="360" w:lineRule="auto"/>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七、质保期及其它要求</w:t>
      </w:r>
    </w:p>
    <w:p>
      <w:pPr>
        <w:pStyle w:val="12"/>
        <w:pageBreakBefore w:val="0"/>
        <w:numPr>
          <w:ilvl w:val="0"/>
          <w:numId w:val="0"/>
        </w:numPr>
        <w:shd w:val="clear"/>
        <w:kinsoku/>
        <w:wordWrap/>
        <w:overflowPunct/>
        <w:topLinePunct w:val="0"/>
        <w:bidi w:val="0"/>
        <w:adjustRightInd w:val="0"/>
        <w:spacing w:line="360" w:lineRule="auto"/>
        <w:ind w:firstLine="48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1.以上所列招标项目的技术要求、配置作为技术参考，如有优于或等同于的技术配置和安装布置方式的亦可采用，但需事先征得甲方同意，并做详细说明。</w:t>
      </w:r>
    </w:p>
    <w:p>
      <w:pPr>
        <w:pStyle w:val="12"/>
        <w:adjustRightInd w:val="0"/>
        <w:snapToGrid w:val="0"/>
        <w:spacing w:line="360" w:lineRule="auto"/>
        <w:ind w:firstLineChars="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承诺在货到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工厂或现场时，按照</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要求时间内安排技术人员</w:t>
      </w:r>
      <w:r>
        <w:rPr>
          <w:rFonts w:hint="eastAsia" w:ascii="宋体" w:hAnsi="宋体" w:eastAsia="宋体" w:cs="宋体"/>
          <w:color w:val="auto"/>
          <w:sz w:val="24"/>
          <w:highlight w:val="none"/>
        </w:rPr>
        <w:t>提供免费技术指导、培训，免费指导设备调试安装</w:t>
      </w:r>
      <w:r>
        <w:rPr>
          <w:rFonts w:hint="eastAsia" w:ascii="宋体" w:hAnsi="宋体" w:eastAsia="宋体" w:cs="宋体"/>
          <w:color w:val="auto"/>
          <w:sz w:val="24"/>
          <w:szCs w:val="24"/>
          <w:highlight w:val="none"/>
        </w:rPr>
        <w:t>。</w:t>
      </w:r>
    </w:p>
    <w:p>
      <w:pPr>
        <w:pStyle w:val="12"/>
        <w:adjustRightInd w:val="0"/>
        <w:snapToGrid w:val="0"/>
        <w:spacing w:line="360" w:lineRule="auto"/>
        <w:ind w:firstLineChars="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在接到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技术服务申请后，于2小时内快速响应，并在24小时内安排人员</w:t>
      </w:r>
      <w:r>
        <w:rPr>
          <w:rFonts w:hint="eastAsia" w:ascii="宋体" w:hAnsi="宋体" w:eastAsia="宋体" w:cs="宋体"/>
          <w:color w:val="auto"/>
          <w:sz w:val="24"/>
          <w:szCs w:val="24"/>
          <w:highlight w:val="none"/>
          <w:lang w:val="en-US" w:eastAsia="zh-CN"/>
        </w:rPr>
        <w:t>到达</w:t>
      </w:r>
      <w:r>
        <w:rPr>
          <w:rFonts w:hint="eastAsia" w:ascii="宋体" w:hAnsi="宋体" w:eastAsia="宋体" w:cs="宋体"/>
          <w:color w:val="auto"/>
          <w:sz w:val="24"/>
          <w:szCs w:val="24"/>
          <w:highlight w:val="none"/>
        </w:rPr>
        <w:t>现场解决问题，直至问题解决。</w:t>
      </w:r>
    </w:p>
    <w:p>
      <w:pPr>
        <w:pStyle w:val="12"/>
        <w:adjustRightInd w:val="0"/>
        <w:snapToGrid w:val="0"/>
        <w:spacing w:line="360" w:lineRule="auto"/>
        <w:ind w:firstLineChars="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供应的设备不符合技术协议中所规定的条款及产品质质量原因造成使用问题，</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应无条件免费维修或更换，如对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生产及其他设备造成的经济损失的，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应无条件赔偿相关损失。</w:t>
      </w:r>
    </w:p>
    <w:p>
      <w:pPr>
        <w:pStyle w:val="12"/>
        <w:adjustRightInd w:val="0"/>
        <w:snapToGrid w:val="0"/>
        <w:spacing w:line="360" w:lineRule="auto"/>
        <w:ind w:firstLineChars="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提供的设备和材料有质量疑问时，经双方协商后可进行必要的材质、性能、可靠性等品质检验。解释双方应相互配合，不应无故拖延。</w:t>
      </w:r>
    </w:p>
    <w:bookmarkEnd w:id="1"/>
    <w:p>
      <w:pPr>
        <w:pStyle w:val="12"/>
        <w:adjustRightInd w:val="0"/>
        <w:snapToGrid w:val="0"/>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6.乙方对自身供货产品质量安全须具备管控能力，须承担相应法律责任，遵循甲方相应供货质量管理规定或约定。</w:t>
      </w:r>
    </w:p>
    <w:p>
      <w:pPr>
        <w:pStyle w:val="12"/>
        <w:adjustRightInd w:val="0"/>
        <w:snapToGrid w:val="0"/>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yellow"/>
          <w:lang w:val="en-US" w:eastAsia="zh-CN"/>
        </w:rPr>
        <w:t>7.采煤机配件的质量保证期从到货验收合格且投入使用后6个月，质保期内出现质量问题的，由乙方承担相应责任。</w:t>
      </w:r>
    </w:p>
    <w:p>
      <w:pPr>
        <w:pStyle w:val="12"/>
        <w:adjustRightInd w:val="0"/>
        <w:snapToGrid w:val="0"/>
        <w:spacing w:line="360" w:lineRule="auto"/>
        <w:jc w:val="left"/>
        <w:outlineLvl w:val="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8.乙方应对投标产品的材质及生产加工工艺在投标文件中有详细的单独描述,便于甲方全面了解投标人产品的整体性能。</w:t>
      </w:r>
    </w:p>
    <w:p>
      <w:pPr>
        <w:pStyle w:val="12"/>
        <w:adjustRightInd w:val="0"/>
        <w:snapToGrid w:val="0"/>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9.采煤机配件使用中出现质量问题时，乙方必须在24小时内赶到现场，进行妥善处理。</w:t>
      </w:r>
    </w:p>
    <w:p>
      <w:pPr>
        <w:pStyle w:val="12"/>
        <w:adjustRightInd w:val="0"/>
        <w:snapToGrid w:val="0"/>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10.采煤机配件使用期间，凡发生质量问题或需要必要的技术支持时，乙方及时提供甲方提出的技术服务要求。</w:t>
      </w:r>
    </w:p>
    <w:p>
      <w:pPr>
        <w:pageBreakBefore w:val="0"/>
        <w:shd w:val="clear"/>
        <w:kinsoku/>
        <w:wordWrap/>
        <w:overflowPunct/>
        <w:topLinePunct w:val="0"/>
        <w:bidi w:val="0"/>
        <w:adjustRightInd w:val="0"/>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、其他要求（交货时提供）</w:t>
      </w:r>
    </w:p>
    <w:p>
      <w:pPr>
        <w:pStyle w:val="12"/>
        <w:adjustRightInd w:val="0"/>
        <w:snapToGrid w:val="0"/>
        <w:spacing w:line="360" w:lineRule="auto"/>
        <w:jc w:val="left"/>
        <w:outlineLv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highlight w:val="none"/>
          <w:lang w:val="en-US" w:eastAsia="zh-CN"/>
        </w:rPr>
        <w:t>交货时乙方须向甲方提供相关资料纸质版3套（包括生产许可证、矿用安全标志证书、产品合格证、出厂检验报告），电子版资料1套。</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yellow"/>
          <w:lang w:val="en-US" w:eastAsia="zh-CN"/>
        </w:rPr>
        <w:t>2</w:t>
      </w:r>
      <w:r>
        <w:rPr>
          <w:rFonts w:hint="eastAsia" w:ascii="宋体" w:hAnsi="宋体" w:eastAsia="宋体" w:cs="宋体"/>
          <w:color w:val="auto"/>
          <w:kern w:val="2"/>
          <w:sz w:val="24"/>
          <w:szCs w:val="24"/>
          <w:highlight w:val="yellow"/>
          <w:lang w:eastAsia="zh-CN"/>
        </w:rPr>
        <w:t>、交货日期：合同</w:t>
      </w:r>
      <w:r>
        <w:rPr>
          <w:rFonts w:hint="eastAsia" w:ascii="宋体" w:hAnsi="宋体" w:eastAsia="宋体" w:cs="宋体"/>
          <w:color w:val="auto"/>
          <w:kern w:val="2"/>
          <w:sz w:val="24"/>
          <w:szCs w:val="24"/>
          <w:highlight w:val="yellow"/>
          <w:lang w:val="en-US" w:eastAsia="zh-CN"/>
        </w:rPr>
        <w:t>签订后10天。</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、到货地点：</w:t>
      </w:r>
      <w:r>
        <w:rPr>
          <w:rFonts w:hint="eastAsia" w:ascii="宋体" w:hAnsi="宋体" w:eastAsia="宋体" w:cs="宋体"/>
          <w:color w:val="auto"/>
          <w:kern w:val="2"/>
          <w:sz w:val="24"/>
          <w:szCs w:val="24"/>
          <w:highlight w:val="none"/>
          <w:lang w:val="en-US" w:eastAsia="zh-CN"/>
        </w:rPr>
        <w:t>东怀煤矿、州景煤矿</w:t>
      </w:r>
      <w:r>
        <w:rPr>
          <w:rFonts w:hint="eastAsia" w:ascii="宋体" w:hAnsi="宋体" w:eastAsia="宋体" w:cs="宋体"/>
          <w:color w:val="auto"/>
          <w:kern w:val="2"/>
          <w:sz w:val="24"/>
          <w:szCs w:val="24"/>
          <w:highlight w:val="none"/>
          <w:lang w:eastAsia="zh-CN"/>
        </w:rPr>
        <w:t>指定地点。</w:t>
      </w:r>
      <w:r>
        <w:rPr>
          <w:rFonts w:hint="eastAsia" w:ascii="宋体" w:hAnsi="宋体" w:eastAsia="宋体" w:cs="宋体"/>
          <w:color w:val="auto"/>
          <w:sz w:val="24"/>
          <w:szCs w:val="24"/>
          <w:highlight w:val="none"/>
          <w:lang w:eastAsia="zh-CN"/>
        </w:rPr>
        <w:t xml:space="preserve">              </w:t>
      </w:r>
    </w:p>
    <w:p>
      <w:pPr>
        <w:keepNext w:val="0"/>
        <w:keepLines w:val="0"/>
        <w:pageBreakBefore w:val="0"/>
        <w:shd w:val="clear"/>
        <w:tabs>
          <w:tab w:val="left" w:pos="36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、运输及包装要求</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1.产品单独出厂时应在明显部位固定标牌，其内容包括产品名称、型号、主要技术参数、制造厂家名称、出厂日期等信息；</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2.产品试验合格后所有外露油口应用塑料或金属油塞封口，禁用纸张、棉纱、木塞等杂物封口；</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包装箱外壁应有明显的文字标记，内容包括收货单位地址、名称和到站站名，设备名称、型号，制造厂家名称、出厂编号和日期，产品净重、毛重、最大外形尺寸和箱件编号，贮运注意事项:“防湿”、“向上”、“小心轻放”等文字及标记；</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4.包装应具有防潮能力，结实可靠，防止损坏、变形以及面漆擦伤； </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5.单独包装的零散件、部件等应有标签，标签应清楚、正确、持久、耐用，并与图样相适应；</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6.随机文件用塑料袋封好装入箱中，并在箱外注明“文件在此”字样；</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7.运输费用由乙方负责。</w:t>
      </w:r>
    </w:p>
    <w:p>
      <w:pPr>
        <w:pageBreakBefore w:val="0"/>
        <w:shd w:val="clear"/>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十、其他</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1、本技术规格书未尽事宜，由双方协商确定。</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2、技术联系人：蓝红日13977601071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02382"/>
    <w:multiLevelType w:val="singleLevel"/>
    <w:tmpl w:val="CED02382"/>
    <w:lvl w:ilvl="0" w:tentative="0">
      <w:start w:val="2"/>
      <w:numFmt w:val="chineseCounting"/>
      <w:suff w:val="nothing"/>
      <w:lvlText w:val="%1、"/>
      <w:lvlJc w:val="left"/>
      <w:rPr>
        <w:rFonts w:hint="eastAsia"/>
      </w:rPr>
    </w:lvl>
  </w:abstractNum>
  <w:abstractNum w:abstractNumId="1">
    <w:nsid w:val="2D81CD57"/>
    <w:multiLevelType w:val="singleLevel"/>
    <w:tmpl w:val="2D81CD57"/>
    <w:lvl w:ilvl="0" w:tentative="0">
      <w:start w:val="1"/>
      <w:numFmt w:val="chineseCounting"/>
      <w:suff w:val="nothing"/>
      <w:lvlText w:val="（%1）"/>
      <w:lvlJc w:val="left"/>
      <w:pPr>
        <w:ind w:left="0" w:firstLine="420"/>
      </w:pPr>
      <w:rPr>
        <w:rFonts w:hint="eastAsia"/>
      </w:rPr>
    </w:lvl>
  </w:abstractNum>
  <w:abstractNum w:abstractNumId="2">
    <w:nsid w:val="7CFC35DD"/>
    <w:multiLevelType w:val="multilevel"/>
    <w:tmpl w:val="7CFC35DD"/>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WRmYzQ0NDdhYjIxODA2ODY5ODg5NjJlZGY2N2QifQ=="/>
  </w:docVars>
  <w:rsids>
    <w:rsidRoot w:val="568B0079"/>
    <w:rsid w:val="06E767B1"/>
    <w:rsid w:val="08780A7B"/>
    <w:rsid w:val="08DB79EB"/>
    <w:rsid w:val="11702DAD"/>
    <w:rsid w:val="16CE21BC"/>
    <w:rsid w:val="17D64F6F"/>
    <w:rsid w:val="22132A0C"/>
    <w:rsid w:val="33E10ACB"/>
    <w:rsid w:val="446A4BAA"/>
    <w:rsid w:val="470B10C1"/>
    <w:rsid w:val="48C0448C"/>
    <w:rsid w:val="568B0079"/>
    <w:rsid w:val="5C7459AE"/>
    <w:rsid w:val="5EFF3F1E"/>
    <w:rsid w:val="6B463E80"/>
    <w:rsid w:val="6DE04EBF"/>
    <w:rsid w:val="6E1E50D4"/>
    <w:rsid w:val="6E5A0F19"/>
    <w:rsid w:val="73B3745A"/>
    <w:rsid w:val="744E128A"/>
    <w:rsid w:val="7C6129C4"/>
    <w:rsid w:val="7C95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widowControl/>
      <w:tabs>
        <w:tab w:val="center" w:pos="4153"/>
        <w:tab w:val="right" w:pos="8306"/>
      </w:tabs>
      <w:snapToGrid w:val="0"/>
      <w:jc w:val="left"/>
    </w:pPr>
    <w:rPr>
      <w:sz w:val="18"/>
      <w:szCs w:val="20"/>
    </w:rPr>
  </w:style>
  <w:style w:type="paragraph" w:styleId="6">
    <w:name w:val="Body Text"/>
    <w:basedOn w:val="1"/>
    <w:next w:val="1"/>
    <w:qFormat/>
    <w:uiPriority w:val="1"/>
    <w:rPr>
      <w:rFonts w:ascii="宋体" w:hAnsi="宋体" w:eastAsia="宋体" w:cs="宋体"/>
      <w:sz w:val="21"/>
      <w:szCs w:val="21"/>
      <w:lang w:val="zh-CN" w:eastAsia="zh-CN" w:bidi="zh-CN"/>
    </w:rPr>
  </w:style>
  <w:style w:type="paragraph" w:styleId="7">
    <w:name w:val="Body Text Indent"/>
    <w:basedOn w:val="1"/>
    <w:qFormat/>
    <w:uiPriority w:val="0"/>
    <w:pPr>
      <w:spacing w:after="120"/>
      <w:ind w:left="420" w:leftChars="200"/>
    </w:pPr>
    <w:rPr>
      <w:rFonts w:ascii="Tahoma" w:hAnsi="Tahoma"/>
      <w:b/>
      <w:kern w:val="0"/>
      <w:sz w:val="20"/>
    </w:rPr>
  </w:style>
  <w:style w:type="paragraph" w:styleId="8">
    <w:name w:val="endnote text"/>
    <w:basedOn w:val="1"/>
    <w:qFormat/>
    <w:uiPriority w:val="0"/>
    <w:pPr>
      <w:overflowPunct w:val="0"/>
      <w:autoSpaceDE w:val="0"/>
      <w:autoSpaceDN w:val="0"/>
      <w:ind w:firstLine="200" w:firstLineChars="200"/>
      <w:textAlignment w:val="baseline"/>
    </w:pPr>
    <w:rPr>
      <w:kern w:val="0"/>
      <w:sz w:val="24"/>
      <w:szCs w:val="20"/>
    </w:rPr>
  </w:style>
  <w:style w:type="paragraph" w:styleId="9">
    <w:name w:val="Body Text First Indent 2"/>
    <w:basedOn w:val="7"/>
    <w:qFormat/>
    <w:uiPriority w:val="0"/>
    <w:pPr>
      <w:ind w:firstLine="420" w:firstLineChars="200"/>
    </w:pPr>
  </w:style>
  <w:style w:type="paragraph" w:styleId="12">
    <w:name w:val="List Paragraph"/>
    <w:basedOn w:val="1"/>
    <w:qFormat/>
    <w:uiPriority w:val="34"/>
    <w:pPr>
      <w:ind w:firstLine="420" w:firstLineChars="200"/>
    </w:pPr>
  </w:style>
  <w:style w:type="character" w:customStyle="1" w:styleId="13">
    <w:name w:val="font41"/>
    <w:basedOn w:val="11"/>
    <w:qFormat/>
    <w:uiPriority w:val="0"/>
    <w:rPr>
      <w:rFonts w:hint="eastAsia" w:ascii="宋体" w:hAnsi="宋体" w:eastAsia="宋体" w:cs="宋体"/>
      <w:color w:val="000000"/>
      <w:sz w:val="24"/>
      <w:szCs w:val="24"/>
      <w:u w:val="none"/>
    </w:rPr>
  </w:style>
  <w:style w:type="character" w:customStyle="1" w:styleId="14">
    <w:name w:val="font2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2187</Words>
  <Characters>2395</Characters>
  <Lines>0</Lines>
  <Paragraphs>0</Paragraphs>
  <TotalTime>2</TotalTime>
  <ScaleCrop>false</ScaleCrop>
  <LinksUpToDate>false</LinksUpToDate>
  <CharactersWithSpaces>2453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2023-05-02T14:19:00Z</dcterms:created>
  <dc:creator>相识是缘</dc:creator>
  <cp:lastModifiedBy>相识是缘</cp:lastModifiedBy>
  <dcterms:modified xsi:type="dcterms:W3CDTF">2023-06-30T01:27:22Z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F044E2EA478B488AA7E748D1B0596261_13</vt:lpwstr>
  </property>
</Properties>
</file>