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36"/>
          <w:szCs w:val="36"/>
        </w:rPr>
      </w:pPr>
      <w:r>
        <w:rPr>
          <w:rFonts w:hint="eastAsia" w:ascii="宋体" w:hAnsi="宋体" w:eastAsia="宋体" w:cs="宋体"/>
          <w:sz w:val="36"/>
          <w:szCs w:val="36"/>
          <w:lang w:eastAsia="zh-CN"/>
        </w:rPr>
        <w:t>广西百矿铝业有限公司</w:t>
      </w:r>
      <w:r>
        <w:rPr>
          <w:rFonts w:hint="eastAsia" w:ascii="宋体" w:hAnsi="宋体" w:eastAsia="宋体" w:cs="宋体"/>
          <w:sz w:val="36"/>
          <w:szCs w:val="36"/>
        </w:rPr>
        <w:t>2023年清洁生产审核项目招标公告</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采购类别：</w:t>
      </w:r>
      <w:r>
        <w:rPr>
          <w:rFonts w:hint="eastAsia" w:ascii="微软雅黑" w:hAnsi="微软雅黑" w:eastAsia="微软雅黑" w:cs="微软雅黑"/>
          <w:sz w:val="24"/>
          <w:szCs w:val="24"/>
          <w:lang w:eastAsia="zh-CN"/>
        </w:rPr>
        <w:t>服务</w:t>
      </w:r>
      <w:r>
        <w:rPr>
          <w:rFonts w:hint="eastAsia" w:ascii="微软雅黑" w:hAnsi="微软雅黑" w:eastAsia="微软雅黑" w:cs="微软雅黑"/>
          <w:sz w:val="24"/>
          <w:szCs w:val="24"/>
        </w:rPr>
        <w:t>类（注：新用户时请选择此类别，否则无法报名）</w:t>
      </w:r>
    </w:p>
    <w:p>
      <w:pPr>
        <w:pStyle w:val="2"/>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i w:val="0"/>
          <w:caps w:val="0"/>
          <w:color w:val="333333"/>
          <w:spacing w:val="0"/>
          <w:kern w:val="0"/>
          <w:sz w:val="24"/>
          <w:szCs w:val="24"/>
          <w:shd w:val="clear" w:fill="FFFFFF"/>
          <w:lang w:val="en-US" w:eastAsia="zh-CN" w:bidi="ar"/>
        </w:rPr>
      </w:pPr>
      <w:r>
        <w:rPr>
          <w:rFonts w:hint="eastAsia"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rPr>
        <w:t>项目名称：</w:t>
      </w:r>
      <w:r>
        <w:rPr>
          <w:rFonts w:hint="eastAsia" w:ascii="微软雅黑" w:hAnsi="微软雅黑" w:eastAsia="微软雅黑" w:cs="微软雅黑"/>
          <w:b/>
          <w:bCs/>
          <w:sz w:val="24"/>
          <w:szCs w:val="24"/>
          <w:lang w:eastAsia="zh-CN"/>
        </w:rPr>
        <w:t>广西百矿铝业有限公司</w:t>
      </w:r>
      <w:r>
        <w:rPr>
          <w:rFonts w:hint="eastAsia" w:ascii="微软雅黑" w:hAnsi="微软雅黑" w:eastAsia="微软雅黑" w:cs="微软雅黑"/>
          <w:b/>
          <w:bCs/>
          <w:sz w:val="24"/>
          <w:szCs w:val="24"/>
        </w:rPr>
        <w:t>2023年清洁生产审核项目</w:t>
      </w: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rPr>
        <w:t>2.</w:t>
      </w:r>
      <w:r>
        <w:rPr>
          <w:rFonts w:hint="eastAsia" w:ascii="微软雅黑" w:hAnsi="微软雅黑" w:eastAsia="微软雅黑" w:cs="微软雅黑"/>
          <w:b/>
          <w:i w:val="0"/>
          <w:caps w:val="0"/>
          <w:color w:val="333333"/>
          <w:spacing w:val="0"/>
          <w:kern w:val="0"/>
          <w:sz w:val="24"/>
          <w:szCs w:val="24"/>
          <w:shd w:val="clear" w:fill="FFFFFF"/>
          <w:lang w:val="en-US" w:eastAsia="zh-CN" w:bidi="ar"/>
        </w:rPr>
        <w:t>项目概况与招标范围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napToGrid/>
        <w:spacing w:before="0" w:beforeAutospacing="0" w:after="0" w:afterAutospacing="0" w:line="500" w:lineRule="exac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333333"/>
          <w:spacing w:val="0"/>
          <w:kern w:val="0"/>
          <w:sz w:val="24"/>
          <w:szCs w:val="24"/>
          <w:shd w:val="clear" w:fill="FFFFFF"/>
          <w:lang w:val="en-US" w:eastAsia="zh-CN" w:bidi="ar"/>
        </w:rPr>
        <w:t>2.1项目概况：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napToGrid/>
        <w:spacing w:before="0" w:beforeAutospacing="0" w:after="0" w:afterAutospacing="0" w:line="500" w:lineRule="exact"/>
        <w:ind w:left="0" w:right="0" w:firstLine="48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吉利百矿集团田阳铝厂是百色生态型铝产业示范基地的重点工程，项目选址于广西百色市田阳区头塘镇新山铝产业示范园经一路，其距百色市约40km,厂址距田阳区约15km。总占地面积约2500多亩，建设总投资45亿元，年产50万吨电解铝，年产值约100亿元。</w:t>
      </w:r>
      <w:r>
        <w:rPr>
          <w:rFonts w:hint="eastAsia" w:ascii="微软雅黑" w:hAnsi="微软雅黑" w:eastAsia="微软雅黑" w:cs="微软雅黑"/>
          <w:color w:val="auto"/>
          <w:sz w:val="24"/>
          <w:highlight w:val="none"/>
        </w:rPr>
        <w:t>根据相关管理要求及合法合规管理要求</w:t>
      </w:r>
      <w:r>
        <w:rPr>
          <w:rFonts w:hint="eastAsia" w:ascii="微软雅黑" w:hAnsi="微软雅黑" w:eastAsia="微软雅黑" w:cs="微软雅黑"/>
          <w:i w:val="0"/>
          <w:caps w:val="0"/>
          <w:color w:val="333333"/>
          <w:spacing w:val="0"/>
          <w:kern w:val="0"/>
          <w:sz w:val="24"/>
          <w:szCs w:val="24"/>
          <w:shd w:val="clear" w:fill="FFFFFF"/>
          <w:lang w:val="en-US" w:eastAsia="zh-CN" w:bidi="ar"/>
        </w:rPr>
        <w:t>。现就广西百矿铝业有限公司2022年委托第三方服务机构协助开展清洁生产审核工作项目进行公告，欢迎有实力的公司参与报价。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2.2广西百矿铝业有限公司委托第三方服务机构协助开展清洁生产审核工作项目（详见技术任务书）。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3.</w:t>
      </w:r>
      <w:r>
        <w:rPr>
          <w:rFonts w:hint="eastAsia" w:ascii="微软雅黑" w:hAnsi="微软雅黑" w:eastAsia="微软雅黑" w:cs="微软雅黑"/>
          <w:b/>
          <w:bCs/>
          <w:sz w:val="24"/>
          <w:szCs w:val="24"/>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本次招标要求投标人满足如下资格条件：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在中国境内注册，有独立法人资格和承担民事责任的能力。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遵守中华人民共和国有关法律、法规和条例。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3经营范围须包含本次项目相关内容或技术服务、咨询服务相关内容资质；并提供一份近三年内与本次项目相近业绩。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近年来有较好业绩且无不良商业行为。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具有良好的商业信誉和健全的财务会计制度。</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本次招标不接受联合体投标，不接受分包/转包。</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投标报名</w:t>
      </w:r>
      <w:r>
        <w:rPr>
          <w:rFonts w:hint="eastAsia" w:ascii="微软雅黑" w:hAnsi="微软雅黑" w:eastAsia="微软雅黑" w:cs="微软雅黑"/>
          <w:b/>
          <w:bCs/>
          <w:sz w:val="24"/>
          <w:szCs w:val="24"/>
        </w:rPr>
        <w:br w:type="textWrapping"/>
      </w:r>
      <w:r>
        <w:rPr>
          <w:rFonts w:hint="eastAsia" w:ascii="微软雅黑" w:hAnsi="微软雅黑" w:eastAsia="微软雅黑" w:cs="微软雅黑"/>
          <w:sz w:val="24"/>
          <w:szCs w:val="24"/>
        </w:rPr>
        <w:t>4.1报名方式</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4.1.1 *凡有意参加报名的投标人，请至吉利控股集团招标采购平台（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4.1.2 *报名截止时间：2023年</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0000FF"/>
          <w:sz w:val="24"/>
          <w:szCs w:val="24"/>
        </w:rPr>
      </w:pPr>
      <w:r>
        <w:rPr>
          <w:rFonts w:hint="eastAsia" w:ascii="微软雅黑" w:hAnsi="微软雅黑" w:eastAsia="微软雅黑" w:cs="微软雅黑"/>
          <w:color w:val="0000FF"/>
          <w:sz w:val="24"/>
          <w:szCs w:val="24"/>
        </w:rPr>
        <w:t>4.2报名资料</w:t>
      </w:r>
      <w:r>
        <w:rPr>
          <w:rFonts w:hint="eastAsia" w:ascii="微软雅黑" w:hAnsi="微软雅黑" w:eastAsia="微软雅黑" w:cs="微软雅黑"/>
          <w:color w:val="0000FF"/>
          <w:sz w:val="24"/>
          <w:szCs w:val="24"/>
        </w:rPr>
        <w:br w:type="textWrapping"/>
      </w:r>
      <w:r>
        <w:rPr>
          <w:rFonts w:hint="eastAsia" w:ascii="微软雅黑" w:hAnsi="微软雅黑" w:eastAsia="微软雅黑" w:cs="微软雅黑"/>
          <w:color w:val="0000FF"/>
          <w:sz w:val="24"/>
          <w:szCs w:val="24"/>
        </w:rPr>
        <w:t>报名资料于报名截止时间前上传至吉利控股集团招标采购平台，报名资料包含但不限于以下内容：</w:t>
      </w:r>
      <w:r>
        <w:rPr>
          <w:rFonts w:hint="eastAsia" w:ascii="微软雅黑" w:hAnsi="微软雅黑" w:eastAsia="微软雅黑" w:cs="微软雅黑"/>
          <w:color w:val="0000FF"/>
          <w:sz w:val="24"/>
          <w:szCs w:val="24"/>
        </w:rPr>
        <w:br w:type="textWrapping"/>
      </w:r>
      <w:r>
        <w:rPr>
          <w:rFonts w:hint="eastAsia" w:ascii="微软雅黑" w:hAnsi="微软雅黑" w:eastAsia="微软雅黑" w:cs="微软雅黑"/>
          <w:color w:val="0000FF"/>
          <w:sz w:val="24"/>
          <w:szCs w:val="24"/>
        </w:rPr>
        <w:t>a、三证合一的营业执照副本、；</w:t>
      </w:r>
      <w:r>
        <w:rPr>
          <w:rFonts w:hint="eastAsia" w:ascii="微软雅黑" w:hAnsi="微软雅黑" w:eastAsia="微软雅黑" w:cs="微软雅黑"/>
          <w:color w:val="0000FF"/>
          <w:sz w:val="24"/>
          <w:szCs w:val="24"/>
        </w:rPr>
        <w:br w:type="textWrapping"/>
      </w:r>
      <w:r>
        <w:rPr>
          <w:rFonts w:hint="eastAsia" w:ascii="微软雅黑" w:hAnsi="微软雅黑" w:eastAsia="微软雅黑" w:cs="微软雅黑"/>
          <w:color w:val="0000FF"/>
          <w:sz w:val="24"/>
          <w:szCs w:val="24"/>
        </w:rPr>
        <w:t>b、项目经理及主要负责人员资质证书、安全B证等材料；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5报名截止：</w:t>
      </w:r>
      <w:r>
        <w:rPr>
          <w:rFonts w:hint="eastAsia" w:ascii="微软雅黑" w:hAnsi="微软雅黑" w:eastAsia="微软雅黑" w:cs="微软雅黑"/>
          <w:bCs/>
          <w:color w:val="auto"/>
          <w:sz w:val="24"/>
          <w:szCs w:val="24"/>
          <w:highlight w:val="none"/>
          <w:lang w:val="en-US" w:eastAsia="zh-CN"/>
        </w:rPr>
        <w:t>2023年7月9日。</w:t>
      </w:r>
      <w:bookmarkStart w:id="0" w:name="_GoBack"/>
      <w:bookmarkEnd w:id="0"/>
      <w:r>
        <w:rPr>
          <w:rFonts w:hint="eastAsia" w:ascii="微软雅黑" w:hAnsi="微软雅黑" w:eastAsia="微软雅黑" w:cs="微软雅黑"/>
          <w:color w:val="0000FF"/>
          <w:sz w:val="24"/>
          <w:szCs w:val="24"/>
        </w:rPr>
        <w:br w:type="textWrapping"/>
      </w:r>
      <w:r>
        <w:rPr>
          <w:rFonts w:hint="eastAsia" w:ascii="微软雅黑" w:hAnsi="微软雅黑" w:eastAsia="微软雅黑" w:cs="微软雅黑"/>
          <w:b/>
          <w:bCs/>
          <w:sz w:val="24"/>
          <w:szCs w:val="24"/>
          <w:lang w:val="en-US" w:eastAsia="zh-CN"/>
        </w:rPr>
        <w:t>6</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eastAsia="zh-CN"/>
        </w:rPr>
        <w:t>报名</w:t>
      </w:r>
      <w:r>
        <w:rPr>
          <w:rFonts w:hint="eastAsia" w:ascii="微软雅黑" w:hAnsi="微软雅黑" w:eastAsia="微软雅黑" w:cs="微软雅黑"/>
          <w:b/>
          <w:bCs/>
          <w:sz w:val="24"/>
          <w:szCs w:val="24"/>
        </w:rPr>
        <w:t>联系方式</w:t>
      </w:r>
      <w:r>
        <w:rPr>
          <w:rFonts w:hint="eastAsia" w:ascii="微软雅黑" w:hAnsi="微软雅黑" w:eastAsia="微软雅黑" w:cs="微软雅黑"/>
          <w:b/>
          <w:bCs/>
          <w:sz w:val="24"/>
          <w:szCs w:val="24"/>
        </w:rPr>
        <w:br w:type="textWrapping"/>
      </w:r>
      <w:r>
        <w:rPr>
          <w:rFonts w:hint="eastAsia" w:ascii="微软雅黑" w:hAnsi="微软雅黑" w:eastAsia="微软雅黑" w:cs="微软雅黑"/>
          <w:sz w:val="24"/>
          <w:szCs w:val="24"/>
          <w:lang w:eastAsia="zh-CN"/>
        </w:rPr>
        <w:t>采购单位</w:t>
      </w:r>
      <w:r>
        <w:rPr>
          <w:rFonts w:hint="eastAsia" w:ascii="微软雅黑" w:hAnsi="微软雅黑" w:eastAsia="微软雅黑" w:cs="微软雅黑"/>
          <w:sz w:val="24"/>
          <w:szCs w:val="24"/>
        </w:rPr>
        <w:t>：广西百矿铝业有限公司</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地址：广西百色市田阳区头塘镇新山铝产业示范园 经一路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开标地址：线上</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商务：</w:t>
      </w:r>
      <w:r>
        <w:rPr>
          <w:rFonts w:hint="eastAsia" w:ascii="微软雅黑" w:hAnsi="微软雅黑" w:eastAsia="微软雅黑" w:cs="微软雅黑"/>
          <w:sz w:val="24"/>
          <w:szCs w:val="24"/>
          <w:lang w:eastAsia="zh-CN"/>
        </w:rPr>
        <w:t>班海姗</w:t>
      </w: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手机号：</w:t>
      </w:r>
      <w:r>
        <w:rPr>
          <w:rFonts w:hint="eastAsia" w:ascii="微软雅黑" w:hAnsi="微软雅黑" w:eastAsia="微软雅黑" w:cs="微软雅黑"/>
          <w:sz w:val="24"/>
          <w:szCs w:val="24"/>
          <w:lang w:val="en-US" w:eastAsia="zh-CN"/>
        </w:rPr>
        <w:t>18377655133</w:t>
      </w:r>
      <w:r>
        <w:rPr>
          <w:rFonts w:hint="eastAsia" w:ascii="微软雅黑" w:hAnsi="微软雅黑" w:eastAsia="微软雅黑" w:cs="微软雅黑"/>
          <w:sz w:val="24"/>
          <w:szCs w:val="24"/>
        </w:rPr>
        <w:t> E-mail : Haishan.Ban@geely.com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技术：张贵植 手机号：18778688199 E-mail :Guizhi.Zhang@geely.com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采购单位</w:t>
      </w:r>
      <w:r>
        <w:rPr>
          <w:rFonts w:hint="eastAsia" w:ascii="微软雅黑" w:hAnsi="微软雅黑" w:eastAsia="微软雅黑" w:cs="微软雅黑"/>
          <w:sz w:val="24"/>
          <w:szCs w:val="24"/>
        </w:rPr>
        <w:t>：广西百矿铝业有限公司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日期：2023年</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日</w:t>
      </w:r>
    </w:p>
    <w:p>
      <w:pPr>
        <w:pStyle w:val="2"/>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2"/>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2"/>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2"/>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2"/>
        <w:keepNext w:val="0"/>
        <w:pageBreakBefore w:val="0"/>
        <w:kinsoku/>
        <w:wordWrap/>
        <w:overflowPunct/>
        <w:bidi w:val="0"/>
        <w:snapToGrid/>
        <w:spacing w:line="500" w:lineRule="exact"/>
        <w:rPr>
          <w:rFonts w:hint="eastAsia" w:ascii="微软雅黑" w:hAnsi="微软雅黑" w:eastAsia="微软雅黑" w:cs="微软雅黑"/>
          <w:sz w:val="24"/>
          <w:szCs w:val="24"/>
        </w:rPr>
      </w:pPr>
    </w:p>
    <w:p>
      <w:pPr>
        <w:pStyle w:val="2"/>
        <w:keepNext w:val="0"/>
        <w:pageBreakBefore w:val="0"/>
        <w:kinsoku/>
        <w:wordWrap/>
        <w:overflowPunct/>
        <w:bidi w:val="0"/>
        <w:snapToGrid/>
        <w:spacing w:line="500" w:lineRule="exact"/>
        <w:rPr>
          <w:rFonts w:hint="eastAsia" w:ascii="微软雅黑" w:hAnsi="微软雅黑" w:eastAsia="微软雅黑" w:cs="微软雅黑"/>
          <w:sz w:val="24"/>
          <w:szCs w:val="24"/>
        </w:rPr>
      </w:pPr>
    </w:p>
    <w:tbl>
      <w:tblPr>
        <w:tblStyle w:val="3"/>
        <w:tblW w:w="6017" w:type="pct"/>
        <w:tblInd w:w="-834" w:type="dxa"/>
        <w:shd w:val="clear" w:color="auto" w:fill="auto"/>
        <w:tblLayout w:type="autofit"/>
        <w:tblCellMar>
          <w:top w:w="0" w:type="dxa"/>
          <w:left w:w="0" w:type="dxa"/>
          <w:bottom w:w="0" w:type="dxa"/>
          <w:right w:w="0" w:type="dxa"/>
        </w:tblCellMar>
      </w:tblPr>
      <w:tblGrid>
        <w:gridCol w:w="650"/>
        <w:gridCol w:w="3535"/>
        <w:gridCol w:w="760"/>
        <w:gridCol w:w="827"/>
        <w:gridCol w:w="1350"/>
        <w:gridCol w:w="1569"/>
        <w:gridCol w:w="1341"/>
      </w:tblGrid>
      <w:tr>
        <w:tblPrEx>
          <w:shd w:val="clear" w:color="auto" w:fill="auto"/>
          <w:tblCellMar>
            <w:top w:w="0" w:type="dxa"/>
            <w:left w:w="0" w:type="dxa"/>
            <w:bottom w:w="0" w:type="dxa"/>
            <w:right w:w="0" w:type="dxa"/>
          </w:tblCellMar>
        </w:tblPrEx>
        <w:trPr>
          <w:trHeight w:val="162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广西百矿铝业有限公司2023年开展清洁生产审核工作项目</w:t>
            </w:r>
            <w:r>
              <w:rPr>
                <w:rFonts w:hint="eastAsia" w:ascii="微软雅黑" w:hAnsi="微软雅黑" w:eastAsia="微软雅黑" w:cs="微软雅黑"/>
                <w:i w:val="0"/>
                <w:color w:val="000000"/>
                <w:kern w:val="0"/>
                <w:sz w:val="32"/>
                <w:szCs w:val="32"/>
                <w:u w:val="none"/>
                <w:lang w:val="en-US" w:eastAsia="zh-CN" w:bidi="ar"/>
              </w:rPr>
              <w:br w:type="textWrapping"/>
            </w:r>
            <w:r>
              <w:rPr>
                <w:rFonts w:hint="eastAsia" w:ascii="微软雅黑" w:hAnsi="微软雅黑" w:eastAsia="微软雅黑" w:cs="微软雅黑"/>
                <w:i w:val="0"/>
                <w:color w:val="000000"/>
                <w:kern w:val="0"/>
                <w:sz w:val="32"/>
                <w:szCs w:val="32"/>
                <w:u w:val="none"/>
                <w:lang w:val="en-US" w:eastAsia="zh-CN" w:bidi="ar"/>
              </w:rPr>
              <w:t>报价函</w:t>
            </w:r>
          </w:p>
        </w:tc>
      </w:tr>
      <w:tr>
        <w:tblPrEx>
          <w:shd w:val="clear" w:color="auto" w:fill="auto"/>
          <w:tblCellMar>
            <w:top w:w="0" w:type="dxa"/>
            <w:left w:w="0" w:type="dxa"/>
            <w:bottom w:w="0" w:type="dxa"/>
            <w:right w:w="0" w:type="dxa"/>
          </w:tblCellMar>
        </w:tblPrEx>
        <w:trPr>
          <w:trHeight w:val="94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lang w:val="en-US" w:eastAsia="zh-CN" w:bidi="ar"/>
              </w:rPr>
              <w:t>序号</w:t>
            </w:r>
          </w:p>
        </w:tc>
        <w:tc>
          <w:tcPr>
            <w:tcW w:w="1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lang w:val="en-US" w:eastAsia="zh-CN" w:bidi="ar"/>
              </w:rPr>
              <w:t>服务内容</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lang w:val="en-US" w:eastAsia="zh-CN" w:bidi="ar"/>
              </w:rPr>
              <w:t>单位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lang w:val="en-US" w:eastAsia="zh-CN" w:bidi="ar"/>
              </w:rPr>
              <w:t>数量</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lang w:val="en-US" w:eastAsia="zh-CN" w:bidi="ar"/>
              </w:rPr>
              <w:t>单价(元)</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lang w:val="en-US" w:eastAsia="zh-CN" w:bidi="ar"/>
              </w:rPr>
              <w:t>金额（元）</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333333"/>
                <w:sz w:val="24"/>
                <w:szCs w:val="24"/>
                <w:u w:val="none"/>
              </w:rPr>
            </w:pPr>
            <w:r>
              <w:rPr>
                <w:rFonts w:hint="eastAsia" w:ascii="微软雅黑" w:hAnsi="微软雅黑" w:eastAsia="微软雅黑" w:cs="微软雅黑"/>
                <w:i w:val="0"/>
                <w:color w:val="333333"/>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3</w:t>
            </w:r>
          </w:p>
        </w:tc>
        <w:tc>
          <w:tcPr>
            <w:tcW w:w="1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审核：准备重点资料、物料实测及结果评估</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项</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4</w:t>
            </w:r>
          </w:p>
        </w:tc>
        <w:tc>
          <w:tcPr>
            <w:tcW w:w="1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方案生产、筛选和确定</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项</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5</w:t>
            </w:r>
          </w:p>
        </w:tc>
        <w:tc>
          <w:tcPr>
            <w:tcW w:w="1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清洁生产审核报告及验收报告编写</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项</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6</w:t>
            </w:r>
          </w:p>
        </w:tc>
        <w:tc>
          <w:tcPr>
            <w:tcW w:w="1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清洁生产审核评估验收专家费用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项</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7</w:t>
            </w:r>
          </w:p>
        </w:tc>
        <w:tc>
          <w:tcPr>
            <w:tcW w:w="1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报告装订费</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项</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kern w:val="2"/>
                <w:sz w:val="24"/>
                <w:szCs w:val="24"/>
                <w:u w:val="none"/>
                <w:lang w:val="en-US" w:eastAsia="zh-CN" w:bidi="ar-SA"/>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kern w:val="2"/>
                <w:sz w:val="24"/>
                <w:szCs w:val="24"/>
                <w:u w:val="none"/>
                <w:lang w:val="en-US" w:eastAsia="zh-CN" w:bidi="ar-SA"/>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kern w:val="2"/>
                <w:sz w:val="24"/>
                <w:szCs w:val="24"/>
                <w:u w:val="none"/>
                <w:lang w:val="en-US" w:eastAsia="zh-CN" w:bidi="ar-SA"/>
              </w:rPr>
            </w:pPr>
          </w:p>
        </w:tc>
      </w:tr>
      <w:tr>
        <w:tblPrEx>
          <w:shd w:val="clear" w:color="auto" w:fill="auto"/>
          <w:tblCellMar>
            <w:top w:w="0" w:type="dxa"/>
            <w:left w:w="0" w:type="dxa"/>
            <w:bottom w:w="0" w:type="dxa"/>
            <w:right w:w="0" w:type="dxa"/>
          </w:tblCellMar>
        </w:tblPrEx>
        <w:trPr>
          <w:trHeight w:val="600" w:hRule="atLeast"/>
        </w:trPr>
        <w:tc>
          <w:tcPr>
            <w:tcW w:w="24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合  计</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bidi w:val="0"/>
              <w:snapToGrid/>
              <w:spacing w:line="500" w:lineRule="exact"/>
              <w:jc w:val="center"/>
              <w:textAlignment w:val="top"/>
              <w:rPr>
                <w:rFonts w:hint="eastAsia" w:ascii="微软雅黑" w:hAnsi="微软雅黑" w:eastAsia="微软雅黑" w:cs="微软雅黑"/>
                <w:i w:val="0"/>
                <w:color w:val="000000"/>
                <w:kern w:val="0"/>
                <w:sz w:val="24"/>
                <w:szCs w:val="24"/>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rPr>
                <w:rFonts w:hint="eastAsia" w:ascii="微软雅黑" w:hAnsi="微软雅黑" w:eastAsia="微软雅黑" w:cs="微软雅黑"/>
                <w:i w:val="0"/>
                <w:color w:val="000000"/>
                <w:sz w:val="24"/>
                <w:szCs w:val="24"/>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rPr>
                <w:rFonts w:hint="eastAsia" w:ascii="微软雅黑" w:hAnsi="微软雅黑" w:eastAsia="微软雅黑" w:cs="微软雅黑"/>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pageBreakBefore w:val="0"/>
              <w:kinsoku/>
              <w:wordWrap/>
              <w:overflowPunct/>
              <w:bidi w:val="0"/>
              <w:snapToGrid/>
              <w:spacing w:line="500" w:lineRule="exact"/>
              <w:rPr>
                <w:rFonts w:hint="eastAsia" w:ascii="微软雅黑" w:hAnsi="微软雅黑" w:eastAsia="微软雅黑" w:cs="微软雅黑"/>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wordWrap/>
              <w:overflowPunct/>
              <w:bidi w:val="0"/>
              <w:snapToGrid/>
              <w:spacing w:line="500" w:lineRule="exact"/>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服务工期：合同签订后6个月内。</w:t>
            </w:r>
          </w:p>
        </w:tc>
      </w:tr>
      <w:tr>
        <w:tblPrEx>
          <w:shd w:val="clear" w:color="auto" w:fill="auto"/>
          <w:tblCellMar>
            <w:top w:w="0" w:type="dxa"/>
            <w:left w:w="0" w:type="dxa"/>
            <w:bottom w:w="0" w:type="dxa"/>
            <w:right w:w="0" w:type="dxa"/>
          </w:tblCellMar>
        </w:tblPrEx>
        <w:trPr>
          <w:trHeight w:val="1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bidi w:val="0"/>
              <w:snapToGrid/>
              <w:spacing w:line="500" w:lineRule="exact"/>
              <w:jc w:val="left"/>
              <w:textAlignment w:val="center"/>
              <w:rPr>
                <w:rFonts w:hint="eastAsia" w:ascii="微软雅黑" w:hAnsi="微软雅黑" w:eastAsia="微软雅黑" w:cs="微软雅黑"/>
                <w:b/>
                <w:i w:val="0"/>
                <w:color w:val="333333"/>
                <w:sz w:val="24"/>
                <w:szCs w:val="24"/>
                <w:u w:val="none"/>
              </w:rPr>
            </w:pPr>
            <w:r>
              <w:rPr>
                <w:rFonts w:hint="eastAsia" w:ascii="微软雅黑" w:hAnsi="微软雅黑" w:eastAsia="微软雅黑" w:cs="微软雅黑"/>
                <w:b/>
                <w:i w:val="0"/>
                <w:color w:val="333333"/>
                <w:kern w:val="0"/>
                <w:sz w:val="24"/>
                <w:szCs w:val="24"/>
                <w:u w:val="none"/>
                <w:lang w:val="en-US" w:eastAsia="zh-CN" w:bidi="ar"/>
              </w:rPr>
              <w:t>付款条件：</w:t>
            </w:r>
            <w:r>
              <w:rPr>
                <w:rStyle w:val="6"/>
                <w:rFonts w:hint="eastAsia" w:ascii="微软雅黑" w:hAnsi="微软雅黑" w:eastAsia="微软雅黑" w:cs="微软雅黑"/>
                <w:lang w:val="en-US" w:eastAsia="zh-CN" w:bidi="ar"/>
              </w:rPr>
              <w:t>报价含</w:t>
            </w:r>
            <w:r>
              <w:rPr>
                <w:rStyle w:val="7"/>
                <w:rFonts w:hint="eastAsia" w:ascii="微软雅黑" w:hAnsi="微软雅黑" w:eastAsia="微软雅黑" w:cs="微软雅黑"/>
                <w:lang w:val="en-US" w:eastAsia="zh-CN" w:bidi="ar"/>
              </w:rPr>
              <w:t>____%增值税专用发票</w:t>
            </w:r>
            <w:r>
              <w:rPr>
                <w:rStyle w:val="6"/>
                <w:rFonts w:hint="eastAsia" w:ascii="微软雅黑" w:hAnsi="微软雅黑" w:eastAsia="微软雅黑" w:cs="微软雅黑"/>
                <w:lang w:val="en-US" w:eastAsia="zh-CN" w:bidi="ar"/>
              </w:rPr>
              <w:t>；乙方进厂准备前期审核工作及资料收集，并完成预审核和审核后，甲方向乙方支付合同总金额30%；乙方完成清洁生产审核咨询服务项目验收报告及编写后支付合同剩余70%尾款，付款前需提供相应合同结算金额增值税专用发票并在10日内向甲方交付发票，甲方在发票登记的开票时间起60日内付清余款。</w:t>
            </w:r>
          </w:p>
        </w:tc>
      </w:tr>
      <w:tr>
        <w:tblPrEx>
          <w:shd w:val="clear" w:color="auto" w:fill="auto"/>
          <w:tblCellMar>
            <w:top w:w="0" w:type="dxa"/>
            <w:left w:w="0" w:type="dxa"/>
            <w:bottom w:w="0" w:type="dxa"/>
            <w:right w:w="0" w:type="dxa"/>
          </w:tblCellMar>
        </w:tblPrEx>
        <w:trPr>
          <w:trHeight w:val="36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pageBreakBefore w:val="0"/>
              <w:widowControl/>
              <w:suppressLineNumbers w:val="0"/>
              <w:kinsoku/>
              <w:wordWrap/>
              <w:overflowPunct/>
              <w:topLinePunct/>
              <w:autoSpaceDE/>
              <w:autoSpaceDN/>
              <w:bidi w:val="0"/>
              <w:adjustRightInd/>
              <w:snapToGrid/>
              <w:spacing w:line="500" w:lineRule="exact"/>
              <w:jc w:val="center"/>
              <w:textAlignment w:val="center"/>
              <w:rPr>
                <w:rFonts w:hint="eastAsia" w:ascii="微软雅黑" w:hAnsi="微软雅黑" w:eastAsia="微软雅黑" w:cs="微软雅黑"/>
                <w:i w:val="0"/>
                <w:color w:val="333333"/>
                <w:sz w:val="24"/>
                <w:szCs w:val="24"/>
                <w:u w:val="none"/>
              </w:rPr>
            </w:pPr>
            <w:r>
              <w:rPr>
                <w:rStyle w:val="6"/>
                <w:rFonts w:hint="eastAsia" w:ascii="微软雅黑" w:hAnsi="微软雅黑" w:eastAsia="微软雅黑" w:cs="微软雅黑"/>
                <w:i w:val="0"/>
                <w:color w:val="333333"/>
                <w:lang w:val="en-US" w:eastAsia="zh-CN" w:bidi="ar"/>
              </w:rPr>
              <w:t>备注：1.以上报价包含____%增值税专用发票、利润、成本、保险等全部费用和除不可抗力外的一切风险（包括政策变化及市场价格变动等所有风险因素）。</w:t>
            </w:r>
            <w:r>
              <w:rPr>
                <w:rStyle w:val="6"/>
                <w:rFonts w:hint="eastAsia" w:ascii="微软雅黑" w:hAnsi="微软雅黑" w:eastAsia="微软雅黑" w:cs="微软雅黑"/>
                <w:i w:val="0"/>
                <w:color w:val="333333"/>
                <w:lang w:val="en-US" w:eastAsia="zh-CN" w:bidi="ar"/>
              </w:rPr>
              <w:br w:type="textWrapping"/>
            </w:r>
            <w:r>
              <w:rPr>
                <w:rStyle w:val="6"/>
                <w:rFonts w:hint="eastAsia" w:ascii="微软雅黑" w:hAnsi="微软雅黑" w:eastAsia="微软雅黑" w:cs="微软雅黑"/>
                <w:lang w:val="en-US" w:eastAsia="zh-CN" w:bidi="ar"/>
              </w:rPr>
              <w:t>2.授权委托书、营业执照、法定代表人证明等，证件可为原件扫描或加盖公章的复印件扫描。</w:t>
            </w:r>
            <w:r>
              <w:rPr>
                <w:rStyle w:val="6"/>
                <w:rFonts w:hint="eastAsia" w:ascii="微软雅黑" w:hAnsi="微软雅黑" w:eastAsia="微软雅黑" w:cs="微软雅黑"/>
                <w:lang w:val="en-US" w:eastAsia="zh-CN" w:bidi="ar"/>
              </w:rPr>
              <w:br w:type="textWrapping"/>
            </w:r>
            <w:r>
              <w:rPr>
                <w:rStyle w:val="6"/>
                <w:rFonts w:hint="eastAsia" w:ascii="微软雅黑" w:hAnsi="微软雅黑" w:eastAsia="微软雅黑" w:cs="微软雅黑"/>
                <w:lang w:val="en-US" w:eastAsia="zh-CN" w:bidi="ar"/>
              </w:rPr>
              <w:br w:type="textWrapping"/>
            </w:r>
            <w:r>
              <w:rPr>
                <w:rStyle w:val="6"/>
                <w:rFonts w:hint="eastAsia" w:ascii="微软雅黑" w:hAnsi="微软雅黑" w:eastAsia="微软雅黑" w:cs="微软雅黑"/>
                <w:lang w:val="en-US" w:eastAsia="zh-CN" w:bidi="ar"/>
              </w:rPr>
              <w:t xml:space="preserve">                                 单位名称（盖公章）：</w:t>
            </w:r>
            <w:r>
              <w:rPr>
                <w:rStyle w:val="6"/>
                <w:rFonts w:hint="eastAsia" w:ascii="微软雅黑" w:hAnsi="微软雅黑" w:eastAsia="微软雅黑" w:cs="微软雅黑"/>
                <w:lang w:val="en-US" w:eastAsia="zh-CN" w:bidi="ar"/>
              </w:rPr>
              <w:br w:type="textWrapping"/>
            </w:r>
            <w:r>
              <w:rPr>
                <w:rStyle w:val="6"/>
                <w:rFonts w:hint="eastAsia" w:ascii="微软雅黑" w:hAnsi="微软雅黑" w:eastAsia="微软雅黑" w:cs="微软雅黑"/>
                <w:lang w:val="en-US" w:eastAsia="zh-CN" w:bidi="ar"/>
              </w:rPr>
              <w:t xml:space="preserve">                                报价人及联系电话：</w:t>
            </w:r>
            <w:r>
              <w:rPr>
                <w:rStyle w:val="6"/>
                <w:rFonts w:hint="eastAsia" w:ascii="微软雅黑" w:hAnsi="微软雅黑" w:eastAsia="微软雅黑" w:cs="微软雅黑"/>
                <w:lang w:val="en-US" w:eastAsia="zh-CN" w:bidi="ar"/>
              </w:rPr>
              <w:br w:type="textWrapping"/>
            </w:r>
            <w:r>
              <w:rPr>
                <w:rStyle w:val="6"/>
                <w:rFonts w:hint="eastAsia" w:ascii="微软雅黑" w:hAnsi="微软雅黑" w:eastAsia="微软雅黑" w:cs="微软雅黑"/>
                <w:lang w:val="en-US" w:eastAsia="zh-CN" w:bidi="ar"/>
              </w:rPr>
              <w:t xml:space="preserve">                                   报价日期：2023年     月     日</w:t>
            </w:r>
          </w:p>
        </w:tc>
      </w:tr>
    </w:tbl>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EB0A3"/>
    <w:multiLevelType w:val="singleLevel"/>
    <w:tmpl w:val="A8EEB0A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673E3"/>
    <w:rsid w:val="32967CAF"/>
    <w:rsid w:val="590C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
    <w:name w:val="Body text|1"/>
    <w:basedOn w:val="1"/>
    <w:qFormat/>
    <w:uiPriority w:val="0"/>
    <w:pPr>
      <w:widowControl w:val="0"/>
      <w:shd w:val="clear" w:color="auto" w:fill="auto"/>
      <w:spacing w:line="353" w:lineRule="auto"/>
      <w:ind w:firstLine="400"/>
    </w:pPr>
    <w:rPr>
      <w:rFonts w:ascii="宋体" w:hAnsi="宋体" w:eastAsia="宋体" w:cs="宋体"/>
      <w:u w:val="none"/>
      <w:shd w:val="clear" w:color="auto" w:fill="auto"/>
      <w:lang w:val="zh-TW" w:eastAsia="zh-TW" w:bidi="zh-TW"/>
    </w:rPr>
  </w:style>
  <w:style w:type="character" w:customStyle="1" w:styleId="6">
    <w:name w:val="font41"/>
    <w:basedOn w:val="4"/>
    <w:qFormat/>
    <w:uiPriority w:val="0"/>
    <w:rPr>
      <w:rFonts w:hint="eastAsia" w:ascii="微软雅黑" w:hAnsi="微软雅黑" w:eastAsia="微软雅黑" w:cs="微软雅黑"/>
      <w:color w:val="333333"/>
      <w:sz w:val="24"/>
      <w:szCs w:val="24"/>
      <w:u w:val="none"/>
    </w:rPr>
  </w:style>
  <w:style w:type="character" w:customStyle="1" w:styleId="7">
    <w:name w:val="font11"/>
    <w:basedOn w:val="4"/>
    <w:qFormat/>
    <w:uiPriority w:val="0"/>
    <w:rPr>
      <w:rFonts w:hint="eastAsia" w:ascii="微软雅黑" w:hAnsi="微软雅黑" w:eastAsia="微软雅黑" w:cs="微软雅黑"/>
      <w:color w:val="0000FF"/>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相聚</cp:lastModifiedBy>
  <dcterms:modified xsi:type="dcterms:W3CDTF">2023-07-04T08:37:31Z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