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微软雅黑" w:hAnsi="微软雅黑" w:eastAsia="微软雅黑" w:cs="微软雅黑"/>
          <w:b/>
          <w:color w:val="auto"/>
          <w:sz w:val="36"/>
          <w:szCs w:val="36"/>
          <w:highlight w:val="none"/>
        </w:rPr>
      </w:pPr>
      <w:r>
        <w:rPr>
          <w:rFonts w:hint="eastAsia" w:ascii="微软雅黑" w:hAnsi="微软雅黑" w:eastAsia="微软雅黑" w:cs="微软雅黑"/>
          <w:b/>
          <w:color w:val="auto"/>
          <w:sz w:val="36"/>
          <w:szCs w:val="36"/>
          <w:highlight w:val="none"/>
          <w:lang w:eastAsia="zh-CN"/>
        </w:rPr>
        <w:t>广西百矿铝业有限公司2023年度双梁天车遥控器系统改造项目</w:t>
      </w:r>
      <w:r>
        <w:rPr>
          <w:rFonts w:hint="eastAsia" w:ascii="微软雅黑" w:hAnsi="微软雅黑" w:eastAsia="微软雅黑" w:cs="微软雅黑"/>
          <w:b/>
          <w:color w:val="auto"/>
          <w:sz w:val="36"/>
          <w:szCs w:val="36"/>
          <w:highlight w:val="none"/>
        </w:rPr>
        <w:t>招标公告</w:t>
      </w:r>
    </w:p>
    <w:p>
      <w:pPr>
        <w:spacing w:line="440" w:lineRule="exact"/>
        <w:jc w:val="center"/>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采购类别：</w:t>
      </w:r>
      <w:r>
        <w:rPr>
          <w:rFonts w:hint="eastAsia" w:ascii="微软雅黑" w:hAnsi="微软雅黑" w:eastAsia="微软雅黑" w:cs="宋体"/>
          <w:color w:val="auto"/>
          <w:kern w:val="0"/>
          <w:sz w:val="24"/>
          <w:szCs w:val="24"/>
        </w:rPr>
        <w:t>设备类-</w:t>
      </w:r>
      <w:r>
        <w:rPr>
          <w:rFonts w:hint="eastAsia" w:ascii="微软雅黑" w:hAnsi="微软雅黑" w:eastAsia="微软雅黑" w:cs="宋体"/>
          <w:color w:val="auto"/>
          <w:kern w:val="0"/>
          <w:sz w:val="24"/>
          <w:szCs w:val="24"/>
          <w:lang w:eastAsia="zh-CN"/>
        </w:rPr>
        <w:t>其他</w:t>
      </w:r>
    </w:p>
    <w:p>
      <w:pPr>
        <w:numPr>
          <w:ilvl w:val="0"/>
          <w:numId w:val="1"/>
        </w:numPr>
        <w:spacing w:line="440" w:lineRule="exact"/>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项目名称：</w:t>
      </w:r>
      <w:r>
        <w:rPr>
          <w:rFonts w:hint="eastAsia" w:ascii="微软雅黑" w:hAnsi="微软雅黑" w:eastAsia="微软雅黑" w:cs="微软雅黑"/>
          <w:b/>
          <w:color w:val="auto"/>
          <w:sz w:val="24"/>
          <w:szCs w:val="24"/>
          <w:highlight w:val="none"/>
          <w:lang w:eastAsia="zh-CN"/>
        </w:rPr>
        <w:t>广西百矿铝业有限公司2023年度双梁天车遥控器系统改造项目</w:t>
      </w:r>
    </w:p>
    <w:p>
      <w:pPr>
        <w:numPr>
          <w:ilvl w:val="0"/>
          <w:numId w:val="1"/>
        </w:numPr>
        <w:spacing w:line="440" w:lineRule="exact"/>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项目概况与招标范围</w:t>
      </w:r>
    </w:p>
    <w:p>
      <w:pPr>
        <w:spacing w:line="44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2.1项目概况：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微软雅黑" w:hAnsi="微软雅黑" w:eastAsia="微软雅黑" w:cs="微软雅黑"/>
          <w:sz w:val="24"/>
          <w:lang w:eastAsia="zh-CN"/>
        </w:rPr>
      </w:pPr>
      <w:r>
        <w:rPr>
          <w:rFonts w:hint="eastAsia" w:ascii="微软雅黑" w:hAnsi="微软雅黑" w:eastAsia="微软雅黑" w:cs="微软雅黑"/>
          <w:color w:val="auto"/>
          <w:sz w:val="24"/>
          <w:szCs w:val="24"/>
          <w:lang w:val="en-US" w:eastAsia="zh-CN"/>
        </w:rPr>
        <w:t>吉利百矿集团电解铝业务部下辖广西百矿铝业有限公司位于百色市田阳区头塘镇百色新山铝产业示范园内。广西百矿铝业有限公司</w:t>
      </w:r>
      <w:r>
        <w:rPr>
          <w:rFonts w:hint="eastAsia" w:ascii="微软雅黑" w:hAnsi="微软雅黑" w:eastAsia="微软雅黑" w:cs="微软雅黑"/>
          <w:sz w:val="24"/>
          <w:lang w:eastAsia="zh-CN"/>
        </w:rPr>
        <w:t>一分厂电解车间的 6 台绝缘双梁天车，因电气元器件衰损、老化，对生产造成严重影响。为确保广西百矿铝业有限公司的正常生产运营，现计划对广西百矿铝业有限公</w:t>
      </w:r>
      <w:bookmarkStart w:id="0" w:name="_GoBack"/>
      <w:bookmarkEnd w:id="0"/>
      <w:r>
        <w:rPr>
          <w:rFonts w:hint="eastAsia" w:ascii="微软雅黑" w:hAnsi="微软雅黑" w:eastAsia="微软雅黑" w:cs="微软雅黑"/>
          <w:sz w:val="24"/>
          <w:lang w:eastAsia="zh-CN"/>
        </w:rPr>
        <w:t>司2023年度双梁天车遥控器系统改造项目进行招标。欢迎有实力的单位参与此次招标活动。</w:t>
      </w:r>
    </w:p>
    <w:p>
      <w:pPr>
        <w:spacing w:line="44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2.2招标范围：</w:t>
      </w:r>
    </w:p>
    <w:tbl>
      <w:tblPr>
        <w:tblStyle w:val="11"/>
        <w:tblW w:w="10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2298"/>
        <w:gridCol w:w="3102"/>
        <w:gridCol w:w="780"/>
        <w:gridCol w:w="814"/>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530"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序号</w:t>
            </w:r>
          </w:p>
        </w:tc>
        <w:tc>
          <w:tcPr>
            <w:tcW w:w="2298"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分项名称</w:t>
            </w:r>
          </w:p>
        </w:tc>
        <w:tc>
          <w:tcPr>
            <w:tcW w:w="3102"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规格型号</w:t>
            </w:r>
          </w:p>
        </w:tc>
        <w:tc>
          <w:tcPr>
            <w:tcW w:w="780"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单位</w:t>
            </w:r>
          </w:p>
        </w:tc>
        <w:tc>
          <w:tcPr>
            <w:tcW w:w="814"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数量</w:t>
            </w:r>
          </w:p>
        </w:tc>
        <w:tc>
          <w:tcPr>
            <w:tcW w:w="2751"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center"/>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1</w:t>
            </w:r>
          </w:p>
        </w:tc>
        <w:tc>
          <w:tcPr>
            <w:tcW w:w="2298"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center"/>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工业无线遥控器</w:t>
            </w:r>
          </w:p>
        </w:tc>
        <w:tc>
          <w:tcPr>
            <w:tcW w:w="3102"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left"/>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TCS-C64BN/BS，摇杆式遥控器，包含遥控器、接收器、智能钥匙等全套设备</w:t>
            </w:r>
          </w:p>
        </w:tc>
        <w:tc>
          <w:tcPr>
            <w:tcW w:w="780"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center"/>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套</w:t>
            </w:r>
          </w:p>
        </w:tc>
        <w:tc>
          <w:tcPr>
            <w:tcW w:w="814"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center"/>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6</w:t>
            </w:r>
          </w:p>
        </w:tc>
        <w:tc>
          <w:tcPr>
            <w:tcW w:w="2751"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left"/>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品牌：欧姆TCS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center"/>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2</w:t>
            </w:r>
          </w:p>
        </w:tc>
        <w:tc>
          <w:tcPr>
            <w:tcW w:w="2298"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center"/>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DP通讯模块</w:t>
            </w:r>
          </w:p>
        </w:tc>
        <w:tc>
          <w:tcPr>
            <w:tcW w:w="3102"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left"/>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 xml:space="preserve">订货号6GK7 342-5DA03-0XE0 </w:t>
            </w:r>
          </w:p>
        </w:tc>
        <w:tc>
          <w:tcPr>
            <w:tcW w:w="780"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center"/>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套</w:t>
            </w:r>
          </w:p>
        </w:tc>
        <w:tc>
          <w:tcPr>
            <w:tcW w:w="814"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center"/>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6</w:t>
            </w:r>
          </w:p>
        </w:tc>
        <w:tc>
          <w:tcPr>
            <w:tcW w:w="2751"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left"/>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与遥控器、PLC 6ES7 314-1AG14-0AB0匹配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center"/>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3</w:t>
            </w:r>
          </w:p>
        </w:tc>
        <w:tc>
          <w:tcPr>
            <w:tcW w:w="2298"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center"/>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网关</w:t>
            </w:r>
          </w:p>
        </w:tc>
        <w:tc>
          <w:tcPr>
            <w:tcW w:w="3102"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left"/>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AB7301,带CANopen、PROFIBUS接口</w:t>
            </w:r>
          </w:p>
        </w:tc>
        <w:tc>
          <w:tcPr>
            <w:tcW w:w="780"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center"/>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个</w:t>
            </w:r>
          </w:p>
        </w:tc>
        <w:tc>
          <w:tcPr>
            <w:tcW w:w="814"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center"/>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6</w:t>
            </w:r>
          </w:p>
        </w:tc>
        <w:tc>
          <w:tcPr>
            <w:tcW w:w="2751"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left"/>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Anybus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center"/>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4</w:t>
            </w:r>
          </w:p>
        </w:tc>
        <w:tc>
          <w:tcPr>
            <w:tcW w:w="2298"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center"/>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耐高温电缆</w:t>
            </w:r>
          </w:p>
        </w:tc>
        <w:tc>
          <w:tcPr>
            <w:tcW w:w="3102"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center"/>
              <w:textAlignment w:val="auto"/>
              <w:rPr>
                <w:rFonts w:hint="default"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w:t>
            </w:r>
          </w:p>
        </w:tc>
        <w:tc>
          <w:tcPr>
            <w:tcW w:w="780"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center"/>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批</w:t>
            </w:r>
          </w:p>
        </w:tc>
        <w:tc>
          <w:tcPr>
            <w:tcW w:w="814"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center"/>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 xml:space="preserve">6 </w:t>
            </w:r>
          </w:p>
        </w:tc>
        <w:tc>
          <w:tcPr>
            <w:tcW w:w="2751"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left"/>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包括多种规格电缆；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center"/>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5</w:t>
            </w:r>
          </w:p>
        </w:tc>
        <w:tc>
          <w:tcPr>
            <w:tcW w:w="2298"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center"/>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电气元件</w:t>
            </w:r>
          </w:p>
        </w:tc>
        <w:tc>
          <w:tcPr>
            <w:tcW w:w="3102"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center"/>
              <w:textAlignment w:val="auto"/>
              <w:rPr>
                <w:rFonts w:hint="default"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w:t>
            </w:r>
          </w:p>
        </w:tc>
        <w:tc>
          <w:tcPr>
            <w:tcW w:w="780"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center"/>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批</w:t>
            </w:r>
          </w:p>
        </w:tc>
        <w:tc>
          <w:tcPr>
            <w:tcW w:w="814"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center"/>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 xml:space="preserve">6 </w:t>
            </w:r>
          </w:p>
        </w:tc>
        <w:tc>
          <w:tcPr>
            <w:tcW w:w="2751"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left"/>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与整机匹配;</w:t>
            </w:r>
          </w:p>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left"/>
              <w:textAlignment w:val="auto"/>
              <w:rPr>
                <w:rFonts w:hint="default"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品牌要求：施耐德、西门子、ABB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center"/>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6</w:t>
            </w:r>
          </w:p>
        </w:tc>
        <w:tc>
          <w:tcPr>
            <w:tcW w:w="2298"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both"/>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系统程序设计升级</w:t>
            </w:r>
          </w:p>
        </w:tc>
        <w:tc>
          <w:tcPr>
            <w:tcW w:w="3102"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center"/>
              <w:textAlignment w:val="auto"/>
              <w:rPr>
                <w:rFonts w:hint="default"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w:t>
            </w:r>
          </w:p>
        </w:tc>
        <w:tc>
          <w:tcPr>
            <w:tcW w:w="780"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center"/>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台</w:t>
            </w:r>
          </w:p>
        </w:tc>
        <w:tc>
          <w:tcPr>
            <w:tcW w:w="814"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center"/>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6</w:t>
            </w:r>
          </w:p>
        </w:tc>
        <w:tc>
          <w:tcPr>
            <w:tcW w:w="2751"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left"/>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与整机匹配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5" w:type="dxa"/>
            <w:gridSpan w:val="6"/>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left"/>
              <w:textAlignment w:val="auto"/>
              <w:rPr>
                <w:rFonts w:hint="default" w:ascii="微软雅黑" w:hAnsi="微软雅黑" w:eastAsia="微软雅黑" w:cs="微软雅黑"/>
                <w:kern w:val="2"/>
                <w:sz w:val="24"/>
                <w:szCs w:val="22"/>
                <w:lang w:val="en-US" w:eastAsia="zh-CN" w:bidi="ar-SA"/>
              </w:rPr>
            </w:pPr>
            <w:r>
              <w:rPr>
                <w:rFonts w:hint="eastAsia" w:ascii="微软雅黑" w:hAnsi="微软雅黑" w:eastAsia="微软雅黑" w:cs="微软雅黑"/>
                <w:b/>
                <w:bCs/>
                <w:kern w:val="2"/>
                <w:sz w:val="24"/>
                <w:szCs w:val="22"/>
                <w:lang w:val="en-US" w:eastAsia="zh-CN" w:bidi="ar-SA"/>
              </w:rPr>
              <w:t>含安装、调试。</w:t>
            </w:r>
          </w:p>
        </w:tc>
      </w:tr>
    </w:tbl>
    <w:p>
      <w:pPr>
        <w:spacing w:line="440" w:lineRule="exact"/>
        <w:rPr>
          <w:rFonts w:hint="eastAsia" w:ascii="微软雅黑" w:hAnsi="微软雅黑" w:eastAsia="微软雅黑" w:cs="微软雅黑"/>
          <w:b/>
          <w:sz w:val="24"/>
          <w:szCs w:val="24"/>
          <w:highlight w:val="none"/>
        </w:rPr>
      </w:pPr>
    </w:p>
    <w:p>
      <w:pPr>
        <w:spacing w:line="440" w:lineRule="exact"/>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3.投标人资格要求</w:t>
      </w:r>
    </w:p>
    <w:p>
      <w:pPr>
        <w:spacing w:line="440" w:lineRule="exac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本次招标要求投标人具备以下资质。</w:t>
      </w:r>
    </w:p>
    <w:p>
      <w:pPr>
        <w:spacing w:line="440" w:lineRule="exac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3.1在中国境内注册，有独立法人资格和承担民事责任的能力</w:t>
      </w:r>
      <w:r>
        <w:rPr>
          <w:rFonts w:hint="eastAsia" w:ascii="微软雅黑" w:hAnsi="微软雅黑" w:eastAsia="微软雅黑" w:cs="微软雅黑"/>
          <w:bCs/>
          <w:sz w:val="24"/>
          <w:szCs w:val="24"/>
          <w:highlight w:val="none"/>
          <w:lang w:eastAsia="zh-CN"/>
        </w:rPr>
        <w:t>。</w:t>
      </w:r>
    </w:p>
    <w:p>
      <w:pPr>
        <w:spacing w:line="440" w:lineRule="exac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3.2遵守中华人民共和国有关法律、法规和条例。</w:t>
      </w:r>
    </w:p>
    <w:p>
      <w:pPr>
        <w:spacing w:line="440" w:lineRule="exact"/>
        <w:rPr>
          <w:rFonts w:hint="eastAsia" w:ascii="微软雅黑" w:hAnsi="微软雅黑" w:eastAsia="微软雅黑" w:cs="微软雅黑"/>
          <w:bCs/>
          <w:sz w:val="24"/>
          <w:szCs w:val="24"/>
          <w:highlight w:val="none"/>
          <w:lang w:eastAsia="zh-CN"/>
        </w:rPr>
      </w:pPr>
      <w:r>
        <w:rPr>
          <w:rFonts w:hint="eastAsia" w:ascii="微软雅黑" w:hAnsi="微软雅黑" w:eastAsia="微软雅黑" w:cs="微软雅黑"/>
          <w:bCs/>
          <w:sz w:val="24"/>
          <w:szCs w:val="24"/>
          <w:highlight w:val="none"/>
        </w:rPr>
        <w:t>3.</w:t>
      </w:r>
      <w:r>
        <w:rPr>
          <w:rFonts w:hint="eastAsia" w:ascii="微软雅黑" w:hAnsi="微软雅黑" w:eastAsia="微软雅黑" w:cs="微软雅黑"/>
          <w:bCs/>
          <w:sz w:val="24"/>
          <w:szCs w:val="24"/>
          <w:highlight w:val="none"/>
          <w:lang w:val="en-US" w:eastAsia="zh-CN"/>
        </w:rPr>
        <w:t>3</w:t>
      </w:r>
      <w:r>
        <w:rPr>
          <w:rFonts w:hint="eastAsia" w:ascii="微软雅黑" w:hAnsi="微软雅黑" w:eastAsia="微软雅黑" w:cs="微软雅黑"/>
          <w:bCs/>
          <w:sz w:val="24"/>
          <w:szCs w:val="24"/>
          <w:highlight w:val="none"/>
        </w:rPr>
        <w:t>具有竞标规格及以上相应或相似条件下，近</w:t>
      </w:r>
      <w:r>
        <w:rPr>
          <w:rFonts w:hint="eastAsia" w:ascii="微软雅黑" w:hAnsi="微软雅黑" w:eastAsia="微软雅黑" w:cs="微软雅黑"/>
          <w:bCs/>
          <w:sz w:val="24"/>
          <w:szCs w:val="24"/>
          <w:highlight w:val="none"/>
          <w:lang w:val="en-US" w:eastAsia="zh-CN"/>
        </w:rPr>
        <w:t>3</w:t>
      </w:r>
      <w:r>
        <w:rPr>
          <w:rFonts w:hint="eastAsia" w:ascii="微软雅黑" w:hAnsi="微软雅黑" w:eastAsia="微软雅黑" w:cs="微软雅黑"/>
          <w:bCs/>
          <w:sz w:val="24"/>
          <w:szCs w:val="24"/>
          <w:highlight w:val="none"/>
        </w:rPr>
        <w:t>年在国内不少于</w:t>
      </w:r>
      <w:r>
        <w:rPr>
          <w:rFonts w:hint="default" w:ascii="微软雅黑" w:hAnsi="微软雅黑" w:eastAsia="微软雅黑" w:cs="微软雅黑"/>
          <w:bCs/>
          <w:sz w:val="24"/>
          <w:szCs w:val="24"/>
          <w:highlight w:val="none"/>
          <w:lang w:val="en-US" w:eastAsia="zh-CN"/>
        </w:rPr>
        <w:t>2</w:t>
      </w:r>
      <w:r>
        <w:rPr>
          <w:rFonts w:hint="eastAsia" w:ascii="微软雅黑" w:hAnsi="微软雅黑" w:eastAsia="微软雅黑" w:cs="微软雅黑"/>
          <w:bCs/>
          <w:sz w:val="24"/>
          <w:szCs w:val="24"/>
          <w:highlight w:val="none"/>
          <w:lang w:val="en-US" w:eastAsia="zh-CN"/>
        </w:rPr>
        <w:t>个类似业绩</w:t>
      </w:r>
      <w:r>
        <w:rPr>
          <w:rFonts w:hint="eastAsia" w:ascii="微软雅黑" w:hAnsi="微软雅黑" w:eastAsia="微软雅黑" w:cs="微软雅黑"/>
          <w:bCs/>
          <w:sz w:val="24"/>
          <w:szCs w:val="24"/>
          <w:highlight w:val="none"/>
        </w:rPr>
        <w:t>。</w:t>
      </w:r>
    </w:p>
    <w:p>
      <w:pPr>
        <w:spacing w:line="440" w:lineRule="exact"/>
        <w:rPr>
          <w:rFonts w:hint="eastAsia" w:ascii="微软雅黑" w:hAnsi="微软雅黑" w:eastAsia="微软雅黑" w:cs="微软雅黑"/>
          <w:bCs/>
          <w:sz w:val="24"/>
          <w:szCs w:val="24"/>
          <w:highlight w:val="none"/>
          <w:lang w:eastAsia="zh-CN"/>
        </w:rPr>
      </w:pPr>
      <w:r>
        <w:rPr>
          <w:rFonts w:hint="eastAsia" w:ascii="微软雅黑" w:hAnsi="微软雅黑" w:eastAsia="微软雅黑" w:cs="微软雅黑"/>
          <w:bCs/>
          <w:sz w:val="24"/>
          <w:szCs w:val="24"/>
          <w:highlight w:val="none"/>
          <w:lang w:val="en-US" w:eastAsia="zh-CN"/>
        </w:rPr>
        <w:t>注：</w:t>
      </w:r>
      <w:r>
        <w:rPr>
          <w:rFonts w:hint="eastAsia" w:ascii="微软雅黑" w:hAnsi="微软雅黑" w:eastAsia="微软雅黑" w:cs="微软雅黑"/>
          <w:bCs/>
          <w:sz w:val="24"/>
          <w:szCs w:val="24"/>
          <w:highlight w:val="none"/>
          <w:lang w:eastAsia="zh-CN"/>
        </w:rPr>
        <w:t>以上业绩须附列表及对应列表的合同原件扫描件。合同原件扫描件含首尾页、供货设备规格型号的供货清单、签字盖章页，否则按无效业绩处理。</w:t>
      </w:r>
    </w:p>
    <w:p>
      <w:pPr>
        <w:spacing w:line="440" w:lineRule="exac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3.</w:t>
      </w:r>
      <w:r>
        <w:rPr>
          <w:rFonts w:hint="eastAsia" w:ascii="微软雅黑" w:hAnsi="微软雅黑" w:eastAsia="微软雅黑" w:cs="微软雅黑"/>
          <w:bCs/>
          <w:sz w:val="24"/>
          <w:szCs w:val="24"/>
          <w:highlight w:val="none"/>
          <w:lang w:val="en-US" w:eastAsia="zh-CN"/>
        </w:rPr>
        <w:t>4</w:t>
      </w:r>
      <w:r>
        <w:rPr>
          <w:rFonts w:hint="eastAsia" w:ascii="微软雅黑" w:hAnsi="微软雅黑" w:eastAsia="微软雅黑" w:cs="微软雅黑"/>
          <w:bCs/>
          <w:sz w:val="24"/>
          <w:szCs w:val="24"/>
          <w:highlight w:val="none"/>
        </w:rPr>
        <w:t>近年来有较好业绩且无不良商业行为。</w:t>
      </w:r>
    </w:p>
    <w:p>
      <w:pPr>
        <w:spacing w:line="440" w:lineRule="exac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3.</w:t>
      </w:r>
      <w:r>
        <w:rPr>
          <w:rFonts w:hint="eastAsia" w:ascii="微软雅黑" w:hAnsi="微软雅黑" w:eastAsia="微软雅黑" w:cs="微软雅黑"/>
          <w:bCs/>
          <w:sz w:val="24"/>
          <w:szCs w:val="24"/>
          <w:highlight w:val="none"/>
          <w:lang w:val="en-US" w:eastAsia="zh-CN"/>
        </w:rPr>
        <w:t>5</w:t>
      </w:r>
      <w:r>
        <w:rPr>
          <w:rFonts w:hint="eastAsia" w:ascii="微软雅黑" w:hAnsi="微软雅黑" w:eastAsia="微软雅黑" w:cs="微软雅黑"/>
          <w:bCs/>
          <w:sz w:val="24"/>
          <w:szCs w:val="24"/>
          <w:highlight w:val="none"/>
        </w:rPr>
        <w:t>具有良好的商业信誉和健全的财务会计制度。</w:t>
      </w:r>
    </w:p>
    <w:p>
      <w:pPr>
        <w:spacing w:line="440" w:lineRule="exac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3.</w:t>
      </w:r>
      <w:r>
        <w:rPr>
          <w:rFonts w:hint="eastAsia" w:ascii="微软雅黑" w:hAnsi="微软雅黑" w:eastAsia="微软雅黑" w:cs="微软雅黑"/>
          <w:bCs/>
          <w:sz w:val="24"/>
          <w:szCs w:val="24"/>
          <w:highlight w:val="none"/>
          <w:lang w:val="en-US" w:eastAsia="zh-CN"/>
        </w:rPr>
        <w:t>6</w:t>
      </w:r>
      <w:r>
        <w:rPr>
          <w:rFonts w:hint="eastAsia" w:ascii="微软雅黑" w:hAnsi="微软雅黑" w:eastAsia="微软雅黑" w:cs="微软雅黑"/>
          <w:bCs/>
          <w:sz w:val="24"/>
          <w:szCs w:val="24"/>
          <w:highlight w:val="none"/>
        </w:rPr>
        <w:t>本次招标不接受联合体投标。</w:t>
      </w:r>
    </w:p>
    <w:p>
      <w:pPr>
        <w:spacing w:line="440" w:lineRule="exac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lang w:val="en-US" w:eastAsia="zh-CN"/>
        </w:rPr>
        <w:t>3.7</w:t>
      </w:r>
      <w:r>
        <w:rPr>
          <w:rFonts w:hint="eastAsia" w:ascii="微软雅黑" w:hAnsi="微软雅黑" w:eastAsia="微软雅黑" w:cs="微软雅黑"/>
          <w:bCs/>
          <w:sz w:val="24"/>
          <w:szCs w:val="24"/>
          <w:highlight w:val="none"/>
        </w:rPr>
        <w:t>次招标不接受</w:t>
      </w:r>
      <w:r>
        <w:rPr>
          <w:rFonts w:hint="eastAsia" w:ascii="微软雅黑" w:hAnsi="微软雅黑" w:eastAsia="微软雅黑" w:cs="微软雅黑"/>
          <w:bCs/>
          <w:sz w:val="24"/>
          <w:szCs w:val="24"/>
          <w:highlight w:val="none"/>
          <w:lang w:eastAsia="zh-CN"/>
        </w:rPr>
        <w:t>分包</w:t>
      </w:r>
      <w:r>
        <w:rPr>
          <w:rFonts w:hint="eastAsia" w:ascii="微软雅黑" w:hAnsi="微软雅黑" w:eastAsia="微软雅黑" w:cs="微软雅黑"/>
          <w:bCs/>
          <w:sz w:val="24"/>
          <w:szCs w:val="24"/>
          <w:highlight w:val="none"/>
        </w:rPr>
        <w:t>。</w:t>
      </w:r>
    </w:p>
    <w:p>
      <w:pPr>
        <w:pStyle w:val="2"/>
        <w:rPr>
          <w:rFonts w:hint="eastAsia"/>
        </w:rPr>
      </w:pPr>
    </w:p>
    <w:p>
      <w:pPr>
        <w:spacing w:line="440" w:lineRule="exact"/>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4.1报名方式</w:t>
      </w:r>
    </w:p>
    <w:p>
      <w:pPr>
        <w:spacing w:line="440" w:lineRule="exac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4.1.1 *凡有意参加报名的投标人，请至吉利控股集团招标采购平台</w:t>
      </w:r>
      <w:r>
        <w:rPr>
          <w:rStyle w:val="13"/>
          <w:rFonts w:hint="eastAsia" w:ascii="微软雅黑" w:hAnsi="微软雅黑" w:eastAsia="微软雅黑" w:cs="微软雅黑"/>
          <w:color w:val="454D54"/>
          <w:sz w:val="24"/>
          <w:szCs w:val="24"/>
          <w:highlight w:val="none"/>
        </w:rPr>
        <w:t>（</w:t>
      </w:r>
      <w:r>
        <w:rPr>
          <w:rFonts w:hint="eastAsia" w:ascii="微软雅黑" w:hAnsi="微软雅黑" w:eastAsia="微软雅黑" w:cs="微软雅黑"/>
          <w:bCs/>
          <w:sz w:val="24"/>
          <w:szCs w:val="24"/>
          <w:highlight w:val="none"/>
          <w:lang w:val="en-US" w:eastAsia="zh-CN"/>
        </w:rPr>
        <w:t>gl</w:t>
      </w:r>
      <w:r>
        <w:rPr>
          <w:rFonts w:hint="eastAsia" w:ascii="微软雅黑" w:hAnsi="微软雅黑" w:eastAsia="微软雅黑" w:cs="微软雅黑"/>
          <w:bCs/>
          <w:sz w:val="24"/>
          <w:szCs w:val="24"/>
          <w:highlight w:val="none"/>
        </w:rPr>
        <w:t>zb.geely.com</w:t>
      </w:r>
      <w:r>
        <w:rPr>
          <w:rStyle w:val="13"/>
          <w:rFonts w:hint="eastAsia" w:ascii="微软雅黑" w:hAnsi="微软雅黑" w:eastAsia="微软雅黑" w:cs="微软雅黑"/>
          <w:color w:val="454D54"/>
          <w:sz w:val="24"/>
          <w:szCs w:val="24"/>
          <w:highlight w:val="none"/>
        </w:rPr>
        <w:t>）</w:t>
      </w:r>
      <w:r>
        <w:rPr>
          <w:rFonts w:hint="eastAsia" w:ascii="微软雅黑" w:hAnsi="微软雅黑" w:eastAsia="微软雅黑" w:cs="微软雅黑"/>
          <w:bCs/>
          <w:sz w:val="24"/>
          <w:szCs w:val="24"/>
          <w:highlight w:val="none"/>
        </w:rPr>
        <w:t>注册报名，可在平台网站首页点击“下载供应商服务手册”查看《吉利电子采购招标平台操作手册（供应商端》,投标人根据手册要求进行注册，认证完成后为注册成功后。供应商根据公告项目名称，按照报名要求上传资料。未按照此方式报名的，视作无效报名。</w:t>
      </w:r>
    </w:p>
    <w:p>
      <w:pPr>
        <w:spacing w:line="440" w:lineRule="exac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4.1.2 *报名截止时间：20</w:t>
      </w:r>
      <w:r>
        <w:rPr>
          <w:rFonts w:hint="eastAsia" w:ascii="微软雅黑" w:hAnsi="微软雅黑" w:eastAsia="微软雅黑" w:cs="微软雅黑"/>
          <w:bCs/>
          <w:sz w:val="24"/>
          <w:szCs w:val="24"/>
          <w:highlight w:val="none"/>
          <w:lang w:val="en-US" w:eastAsia="zh-CN"/>
        </w:rPr>
        <w:t>23</w:t>
      </w:r>
      <w:r>
        <w:rPr>
          <w:rFonts w:hint="eastAsia" w:ascii="微软雅黑" w:hAnsi="微软雅黑" w:eastAsia="微软雅黑" w:cs="微软雅黑"/>
          <w:bCs/>
          <w:sz w:val="24"/>
          <w:szCs w:val="24"/>
          <w:highlight w:val="none"/>
        </w:rPr>
        <w:t>年</w:t>
      </w:r>
      <w:r>
        <w:rPr>
          <w:rFonts w:hint="eastAsia" w:ascii="微软雅黑" w:hAnsi="微软雅黑" w:eastAsia="微软雅黑" w:cs="微软雅黑"/>
          <w:bCs/>
          <w:sz w:val="24"/>
          <w:szCs w:val="24"/>
          <w:highlight w:val="none"/>
          <w:lang w:val="en-US" w:eastAsia="zh-CN"/>
        </w:rPr>
        <w:t>07</w:t>
      </w:r>
      <w:r>
        <w:rPr>
          <w:rFonts w:hint="eastAsia" w:ascii="微软雅黑" w:hAnsi="微软雅黑" w:eastAsia="微软雅黑" w:cs="微软雅黑"/>
          <w:bCs/>
          <w:sz w:val="24"/>
          <w:szCs w:val="24"/>
          <w:highlight w:val="none"/>
        </w:rPr>
        <w:t>月</w:t>
      </w:r>
      <w:r>
        <w:rPr>
          <w:rFonts w:hint="eastAsia" w:ascii="微软雅黑" w:hAnsi="微软雅黑" w:eastAsia="微软雅黑" w:cs="微软雅黑"/>
          <w:bCs/>
          <w:sz w:val="24"/>
          <w:szCs w:val="24"/>
          <w:highlight w:val="none"/>
          <w:lang w:val="en-US" w:eastAsia="zh-CN"/>
        </w:rPr>
        <w:t>12</w:t>
      </w:r>
      <w:r>
        <w:rPr>
          <w:rFonts w:hint="eastAsia" w:ascii="微软雅黑" w:hAnsi="微软雅黑" w:eastAsia="微软雅黑" w:cs="微软雅黑"/>
          <w:bCs/>
          <w:sz w:val="24"/>
          <w:szCs w:val="24"/>
          <w:highlight w:val="none"/>
        </w:rPr>
        <w:t>日（未在招标采购平台上注册过的供应商，因注册后需要审核，请至少提前一天进行注册）。</w:t>
      </w:r>
    </w:p>
    <w:p>
      <w:pPr>
        <w:spacing w:line="440" w:lineRule="exact"/>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4.2报名资料</w:t>
      </w:r>
    </w:p>
    <w:p>
      <w:pPr>
        <w:spacing w:line="440" w:lineRule="exac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报名资料于报名截止时间前上传至吉利控股集团招标采购平台，报名资料包含但不限于以下内容：</w:t>
      </w:r>
    </w:p>
    <w:p>
      <w:pPr>
        <w:numPr>
          <w:ilvl w:val="0"/>
          <w:numId w:val="2"/>
        </w:numPr>
        <w:spacing w:line="440" w:lineRule="exact"/>
        <w:ind w:left="425" w:leftChars="0" w:hanging="425" w:firstLineChars="0"/>
        <w:rPr>
          <w:rFonts w:hint="eastAsia" w:ascii="微软雅黑" w:hAnsi="微软雅黑" w:eastAsia="微软雅黑" w:cs="微软雅黑"/>
          <w:bCs/>
          <w:sz w:val="24"/>
          <w:szCs w:val="24"/>
          <w:lang w:val="en-US" w:eastAsia="zh-CN"/>
        </w:rPr>
      </w:pPr>
      <w:r>
        <w:rPr>
          <w:rFonts w:hint="eastAsia" w:ascii="微软雅黑" w:hAnsi="微软雅黑" w:eastAsia="微软雅黑" w:cs="微软雅黑"/>
          <w:bCs/>
          <w:sz w:val="24"/>
          <w:szCs w:val="24"/>
          <w:lang w:val="en-US" w:eastAsia="zh-CN"/>
        </w:rPr>
        <w:t>三证合一的营业执照副本；</w:t>
      </w:r>
      <w:r>
        <w:rPr>
          <w:rFonts w:hint="eastAsia" w:ascii="微软雅黑" w:hAnsi="微软雅黑" w:eastAsia="微软雅黑" w:cs="微软雅黑"/>
          <w:bCs/>
          <w:sz w:val="24"/>
          <w:szCs w:val="24"/>
          <w:lang w:val="en-US" w:eastAsia="zh-CN"/>
        </w:rPr>
        <w:tab/>
      </w:r>
    </w:p>
    <w:p>
      <w:pPr>
        <w:numPr>
          <w:ilvl w:val="0"/>
          <w:numId w:val="2"/>
        </w:numPr>
        <w:spacing w:line="440" w:lineRule="exact"/>
        <w:ind w:left="425" w:leftChars="0" w:hanging="425" w:firstLineChars="0"/>
        <w:rPr>
          <w:rFonts w:hint="eastAsia" w:ascii="微软雅黑" w:hAnsi="微软雅黑" w:eastAsia="微软雅黑" w:cs="微软雅黑"/>
          <w:bCs/>
          <w:sz w:val="24"/>
          <w:szCs w:val="24"/>
          <w:lang w:val="en-US" w:eastAsia="zh-CN"/>
        </w:rPr>
      </w:pPr>
      <w:r>
        <w:rPr>
          <w:rFonts w:hint="eastAsia" w:ascii="微软雅黑" w:hAnsi="微软雅黑" w:eastAsia="微软雅黑" w:cs="微软雅黑"/>
          <w:bCs/>
          <w:sz w:val="24"/>
          <w:szCs w:val="24"/>
          <w:lang w:val="en-US" w:eastAsia="zh-CN"/>
        </w:rPr>
        <w:t>类似项目业绩证明及证明材料（提供合同扫描件，涉及机密部分可隐去）；</w:t>
      </w:r>
    </w:p>
    <w:p>
      <w:pPr>
        <w:numPr>
          <w:ilvl w:val="0"/>
          <w:numId w:val="2"/>
        </w:numPr>
        <w:spacing w:line="440" w:lineRule="exact"/>
        <w:ind w:left="425" w:leftChars="0" w:hanging="425" w:firstLineChars="0"/>
        <w:rPr>
          <w:rFonts w:hint="eastAsia" w:ascii="微软雅黑" w:hAnsi="微软雅黑" w:eastAsia="微软雅黑" w:cs="微软雅黑"/>
          <w:bCs/>
          <w:sz w:val="24"/>
          <w:szCs w:val="24"/>
          <w:lang w:val="en-US" w:eastAsia="zh-CN"/>
        </w:rPr>
      </w:pPr>
      <w:r>
        <w:rPr>
          <w:rFonts w:hint="eastAsia" w:ascii="微软雅黑" w:hAnsi="微软雅黑" w:eastAsia="微软雅黑" w:cs="微软雅黑"/>
          <w:bCs/>
          <w:sz w:val="24"/>
          <w:szCs w:val="24"/>
          <w:lang w:val="en-US" w:eastAsia="zh-CN"/>
        </w:rPr>
        <w:t>企业概况及履约能力说明；</w:t>
      </w:r>
    </w:p>
    <w:p>
      <w:pPr>
        <w:numPr>
          <w:ilvl w:val="0"/>
          <w:numId w:val="2"/>
        </w:numPr>
        <w:spacing w:line="440" w:lineRule="exact"/>
        <w:ind w:left="425" w:leftChars="0" w:hanging="425" w:firstLineChars="0"/>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近三年的第三方审计财务报告或税务系统下载的财务申报资料（含资产负债表、现金流量表、利润表）</w:t>
      </w:r>
      <w:r>
        <w:rPr>
          <w:rFonts w:hint="eastAsia" w:ascii="微软雅黑" w:hAnsi="微软雅黑" w:eastAsia="微软雅黑" w:cs="微软雅黑"/>
          <w:bCs/>
          <w:sz w:val="24"/>
          <w:szCs w:val="24"/>
          <w:highlight w:val="none"/>
          <w:lang w:eastAsia="zh-CN"/>
        </w:rPr>
        <w:t>。</w:t>
      </w:r>
    </w:p>
    <w:p>
      <w:pPr>
        <w:spacing w:line="440" w:lineRule="exact"/>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4.3提交材料要求</w:t>
      </w:r>
    </w:p>
    <w:p>
      <w:pPr>
        <w:spacing w:line="440" w:lineRule="exact"/>
        <w:ind w:firstLine="0" w:firstLineChars="0"/>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a、合同请扫描成一份PDF文件，严禁将合同分成一张张图片上传；</w:t>
      </w:r>
    </w:p>
    <w:p>
      <w:pPr>
        <w:spacing w:line="440" w:lineRule="exact"/>
        <w:ind w:firstLine="0" w:firstLineChars="0"/>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b、请提供合同原件扫描件、合同扫描件需体现合作对象、合作时间、服务内容等信息（价格部分可隐藏）；</w:t>
      </w:r>
    </w:p>
    <w:p>
      <w:pPr>
        <w:spacing w:line="440" w:lineRule="exact"/>
        <w:ind w:firstLine="0" w:firstLineChars="0"/>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c、合同扫描件请命名：XXXX公司+与XXXX公司合作合同</w:t>
      </w:r>
      <w:r>
        <w:rPr>
          <w:rFonts w:hint="eastAsia" w:ascii="微软雅黑" w:hAnsi="微软雅黑" w:eastAsia="微软雅黑" w:cs="微软雅黑"/>
          <w:bCs/>
          <w:sz w:val="24"/>
          <w:szCs w:val="24"/>
          <w:highlight w:val="none"/>
          <w:lang w:eastAsia="zh-CN"/>
        </w:rPr>
        <w:t>（合同内容：</w:t>
      </w:r>
      <w:r>
        <w:rPr>
          <w:rFonts w:hint="eastAsia" w:ascii="微软雅黑" w:hAnsi="微软雅黑" w:eastAsia="微软雅黑" w:cs="微软雅黑"/>
          <w:bCs/>
          <w:sz w:val="24"/>
          <w:szCs w:val="24"/>
          <w:highlight w:val="none"/>
          <w:lang w:val="en-US" w:eastAsia="zh-CN"/>
        </w:rPr>
        <w:t>XXX</w:t>
      </w:r>
      <w:r>
        <w:rPr>
          <w:rFonts w:hint="eastAsia" w:ascii="微软雅黑" w:hAnsi="微软雅黑" w:eastAsia="微软雅黑" w:cs="微软雅黑"/>
          <w:bCs/>
          <w:sz w:val="24"/>
          <w:szCs w:val="24"/>
          <w:highlight w:val="none"/>
          <w:lang w:eastAsia="zh-CN"/>
        </w:rPr>
        <w:t>）</w:t>
      </w:r>
      <w:r>
        <w:rPr>
          <w:rFonts w:hint="eastAsia" w:ascii="微软雅黑" w:hAnsi="微软雅黑" w:eastAsia="微软雅黑" w:cs="微软雅黑"/>
          <w:bCs/>
          <w:sz w:val="24"/>
          <w:szCs w:val="24"/>
          <w:highlight w:val="none"/>
        </w:rPr>
        <w:t>，如：</w:t>
      </w:r>
      <w:r>
        <w:rPr>
          <w:rFonts w:hint="eastAsia" w:ascii="微软雅黑" w:hAnsi="微软雅黑" w:eastAsia="微软雅黑" w:cs="微软雅黑"/>
          <w:bCs/>
          <w:sz w:val="24"/>
          <w:szCs w:val="24"/>
          <w:highlight w:val="none"/>
          <w:lang w:eastAsia="zh-CN"/>
        </w:rPr>
        <w:t>百色百矿发电有限公司</w:t>
      </w:r>
      <w:r>
        <w:rPr>
          <w:rFonts w:hint="eastAsia" w:ascii="微软雅黑" w:hAnsi="微软雅黑" w:eastAsia="微软雅黑" w:cs="微软雅黑"/>
          <w:bCs/>
          <w:sz w:val="24"/>
          <w:szCs w:val="24"/>
          <w:highlight w:val="none"/>
        </w:rPr>
        <w:t>+与</w:t>
      </w:r>
      <w:r>
        <w:rPr>
          <w:rFonts w:hint="eastAsia" w:ascii="微软雅黑" w:hAnsi="微软雅黑" w:eastAsia="微软雅黑" w:cs="微软雅黑"/>
          <w:bCs/>
          <w:sz w:val="24"/>
          <w:szCs w:val="24"/>
          <w:highlight w:val="none"/>
          <w:lang w:eastAsia="zh-CN"/>
        </w:rPr>
        <w:t>广西百色银海发电有限</w:t>
      </w:r>
      <w:r>
        <w:rPr>
          <w:rFonts w:hint="eastAsia" w:ascii="微软雅黑" w:hAnsi="微软雅黑" w:eastAsia="微软雅黑" w:cs="微软雅黑"/>
          <w:bCs/>
          <w:sz w:val="24"/>
          <w:szCs w:val="24"/>
          <w:highlight w:val="none"/>
        </w:rPr>
        <w:t>公司合作合同</w:t>
      </w:r>
      <w:r>
        <w:rPr>
          <w:rFonts w:hint="eastAsia" w:ascii="微软雅黑" w:hAnsi="微软雅黑" w:eastAsia="微软雅黑" w:cs="微软雅黑"/>
          <w:bCs/>
          <w:sz w:val="24"/>
          <w:szCs w:val="24"/>
          <w:highlight w:val="none"/>
          <w:lang w:eastAsia="zh-CN"/>
        </w:rPr>
        <w:t>（合同内容：</w:t>
      </w:r>
      <w:r>
        <w:rPr>
          <w:rFonts w:hint="eastAsia" w:ascii="微软雅黑" w:hAnsi="微软雅黑" w:eastAsia="微软雅黑" w:cs="微软雅黑"/>
          <w:bCs/>
          <w:sz w:val="24"/>
          <w:szCs w:val="24"/>
          <w:highlight w:val="none"/>
          <w:lang w:val="en-US" w:eastAsia="zh-CN"/>
        </w:rPr>
        <w:t>XXX</w:t>
      </w:r>
      <w:r>
        <w:rPr>
          <w:rFonts w:hint="eastAsia" w:ascii="微软雅黑" w:hAnsi="微软雅黑" w:eastAsia="微软雅黑" w:cs="微软雅黑"/>
          <w:bCs/>
          <w:sz w:val="24"/>
          <w:szCs w:val="24"/>
          <w:highlight w:val="none"/>
          <w:lang w:eastAsia="zh-CN"/>
        </w:rPr>
        <w:t>）</w:t>
      </w:r>
      <w:r>
        <w:rPr>
          <w:rFonts w:hint="eastAsia" w:ascii="微软雅黑" w:hAnsi="微软雅黑" w:eastAsia="微软雅黑" w:cs="微软雅黑"/>
          <w:bCs/>
          <w:sz w:val="24"/>
          <w:szCs w:val="24"/>
          <w:highlight w:val="none"/>
        </w:rPr>
        <w:t>；</w:t>
      </w:r>
    </w:p>
    <w:p>
      <w:pPr>
        <w:spacing w:line="440" w:lineRule="exact"/>
        <w:rPr>
          <w:rFonts w:hint="eastAsia" w:ascii="微软雅黑" w:hAnsi="微软雅黑" w:eastAsia="微软雅黑" w:cs="微软雅黑"/>
          <w:highlight w:val="none"/>
        </w:rPr>
      </w:pPr>
      <w:r>
        <w:rPr>
          <w:rFonts w:hint="eastAsia" w:ascii="微软雅黑" w:hAnsi="微软雅黑" w:eastAsia="微软雅黑" w:cs="微软雅黑"/>
          <w:bCs/>
          <w:sz w:val="24"/>
          <w:szCs w:val="24"/>
          <w:highlight w:val="none"/>
        </w:rPr>
        <w:t>备注：请供应商务必按照要求提交业绩材料，如因供应商提交的材料不符合要求而造成供应商被淘汰，招标方不承担任何责任。以上资料</w:t>
      </w:r>
      <w:r>
        <w:rPr>
          <w:rFonts w:hint="eastAsia" w:ascii="微软雅黑" w:hAnsi="微软雅黑" w:eastAsia="微软雅黑" w:cs="微软雅黑"/>
          <w:b/>
          <w:bCs/>
          <w:sz w:val="24"/>
          <w:szCs w:val="24"/>
          <w:highlight w:val="none"/>
        </w:rPr>
        <w:t>扫描命名打包，</w:t>
      </w:r>
      <w:r>
        <w:rPr>
          <w:rFonts w:hint="eastAsia" w:ascii="微软雅黑" w:hAnsi="微软雅黑" w:eastAsia="微软雅黑" w:cs="微软雅黑"/>
          <w:bCs/>
          <w:sz w:val="24"/>
          <w:szCs w:val="24"/>
          <w:highlight w:val="none"/>
        </w:rPr>
        <w:t>报名资料需在报名截止时间前上传，逾期报名无效。</w:t>
      </w:r>
    </w:p>
    <w:p>
      <w:pPr>
        <w:spacing w:line="440" w:lineRule="exact"/>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5.招标文件的获取</w:t>
      </w:r>
    </w:p>
    <w:p>
      <w:pPr>
        <w:spacing w:line="440" w:lineRule="exac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5.1报名截止后，对所有报名单位进行资格初审，初审合格后购买招标文件；</w:t>
      </w:r>
    </w:p>
    <w:p>
      <w:pPr>
        <w:spacing w:line="440" w:lineRule="exact"/>
        <w:rPr>
          <w:rFonts w:hint="eastAsia" w:ascii="微软雅黑" w:hAnsi="微软雅黑" w:eastAsia="微软雅黑" w:cs="微软雅黑"/>
          <w:bCs/>
          <w:color w:val="FF0000"/>
          <w:sz w:val="24"/>
          <w:szCs w:val="24"/>
          <w:highlight w:val="none"/>
        </w:rPr>
      </w:pPr>
      <w:r>
        <w:rPr>
          <w:rFonts w:hint="eastAsia" w:ascii="微软雅黑" w:hAnsi="微软雅黑" w:eastAsia="微软雅黑" w:cs="微软雅黑"/>
          <w:bCs/>
          <w:sz w:val="24"/>
          <w:szCs w:val="24"/>
          <w:highlight w:val="none"/>
        </w:rPr>
        <w:t>5.2招标文件每套售价</w:t>
      </w:r>
      <w:r>
        <w:rPr>
          <w:rFonts w:hint="eastAsia" w:ascii="微软雅黑" w:hAnsi="微软雅黑" w:eastAsia="微软雅黑" w:cs="微软雅黑"/>
          <w:bCs/>
          <w:sz w:val="24"/>
          <w:szCs w:val="24"/>
          <w:highlight w:val="none"/>
          <w:u w:val="single"/>
          <w:lang w:val="en-US" w:eastAsia="zh-CN"/>
        </w:rPr>
        <w:t>100</w:t>
      </w:r>
      <w:r>
        <w:rPr>
          <w:rFonts w:hint="eastAsia" w:ascii="微软雅黑" w:hAnsi="微软雅黑" w:eastAsia="微软雅黑" w:cs="微软雅黑"/>
          <w:bCs/>
          <w:sz w:val="24"/>
          <w:szCs w:val="24"/>
          <w:highlight w:val="none"/>
        </w:rPr>
        <w:t>元，售后不退；</w:t>
      </w:r>
    </w:p>
    <w:p>
      <w:pPr>
        <w:spacing w:line="440" w:lineRule="exact"/>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6.发布公告的媒介</w:t>
      </w:r>
    </w:p>
    <w:p>
      <w:pPr>
        <w:spacing w:line="440" w:lineRule="exact"/>
        <w:ind w:firstLine="480" w:firstLineChars="200"/>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本次招标公告只在吉利控股集团招标采购平台</w:t>
      </w:r>
      <w:r>
        <w:rPr>
          <w:rFonts w:hint="eastAsia" w:ascii="微软雅黑" w:hAnsi="微软雅黑" w:eastAsia="微软雅黑" w:cs="微软雅黑"/>
          <w:bCs/>
          <w:sz w:val="24"/>
          <w:szCs w:val="24"/>
          <w:highlight w:val="none"/>
          <w:lang w:val="en-US" w:eastAsia="zh-CN"/>
        </w:rPr>
        <w:t>gl</w:t>
      </w:r>
      <w:r>
        <w:rPr>
          <w:rFonts w:hint="eastAsia" w:ascii="微软雅黑" w:hAnsi="微软雅黑" w:eastAsia="微软雅黑" w:cs="微软雅黑"/>
          <w:bCs/>
          <w:sz w:val="24"/>
          <w:szCs w:val="24"/>
          <w:highlight w:val="none"/>
        </w:rPr>
        <w:t>zb.geely.com上发布，其他媒体转载无效。</w:t>
      </w:r>
    </w:p>
    <w:p>
      <w:pPr>
        <w:spacing w:line="440" w:lineRule="exact"/>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7.联系方式</w:t>
      </w:r>
    </w:p>
    <w:p>
      <w:pPr>
        <w:spacing w:line="440" w:lineRule="exact"/>
        <w:ind w:firstLine="480" w:firstLineChars="200"/>
        <w:jc w:val="left"/>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招标人：</w:t>
      </w:r>
      <w:r>
        <w:rPr>
          <w:rFonts w:hint="eastAsia" w:ascii="微软雅黑" w:hAnsi="微软雅黑" w:eastAsia="微软雅黑" w:cs="微软雅黑"/>
          <w:bCs/>
          <w:sz w:val="24"/>
          <w:szCs w:val="24"/>
          <w:highlight w:val="none"/>
          <w:lang w:eastAsia="zh-CN"/>
        </w:rPr>
        <w:t>广西百矿铝业有限公司</w:t>
      </w:r>
    </w:p>
    <w:p>
      <w:pPr>
        <w:spacing w:line="440" w:lineRule="exact"/>
        <w:ind w:firstLine="480" w:firstLineChars="200"/>
        <w:jc w:val="lef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lang w:eastAsia="zh-CN"/>
        </w:rPr>
        <w:t>招标单位</w:t>
      </w:r>
      <w:r>
        <w:rPr>
          <w:rFonts w:hint="eastAsia" w:ascii="微软雅黑" w:hAnsi="微软雅黑" w:eastAsia="微软雅黑" w:cs="微软雅黑"/>
          <w:bCs/>
          <w:sz w:val="24"/>
          <w:szCs w:val="24"/>
          <w:highlight w:val="none"/>
        </w:rPr>
        <w:t>地址：百色市田阳区头塘镇百色新山铝产业示范园</w:t>
      </w:r>
    </w:p>
    <w:p>
      <w:pPr>
        <w:spacing w:line="440" w:lineRule="exact"/>
        <w:ind w:firstLine="480" w:firstLineChars="200"/>
        <w:jc w:val="left"/>
        <w:rPr>
          <w:rFonts w:hint="eastAsia" w:ascii="微软雅黑" w:hAnsi="微软雅黑" w:eastAsia="微软雅黑" w:cs="微软雅黑"/>
          <w:bCs/>
          <w:sz w:val="24"/>
          <w:szCs w:val="24"/>
          <w:highlight w:val="none"/>
        </w:rPr>
      </w:pPr>
      <w:r>
        <w:rPr>
          <w:rFonts w:hint="eastAsia" w:ascii="微软雅黑" w:hAnsi="微软雅黑" w:eastAsia="微软雅黑" w:cs="微软雅黑"/>
          <w:color w:val="auto"/>
          <w:sz w:val="24"/>
          <w:szCs w:val="24"/>
          <w:highlight w:val="none"/>
          <w:lang w:val="en-US" w:eastAsia="zh-CN"/>
        </w:rPr>
        <w:t>招标组织单位：吉利百矿集团有限公司</w:t>
      </w:r>
    </w:p>
    <w:p>
      <w:pPr>
        <w:spacing w:line="440" w:lineRule="exact"/>
        <w:ind w:firstLine="480" w:firstLineChars="200"/>
        <w:jc w:val="lef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开标地址：</w:t>
      </w:r>
      <w:r>
        <w:rPr>
          <w:rFonts w:hint="eastAsia" w:ascii="微软雅黑" w:hAnsi="微软雅黑" w:eastAsia="微软雅黑" w:cs="微软雅黑"/>
          <w:bCs/>
          <w:sz w:val="24"/>
          <w:szCs w:val="24"/>
          <w:highlight w:val="none"/>
          <w:lang w:val="en-US" w:eastAsia="zh-CN"/>
        </w:rPr>
        <w:t>广西百色市右江区东增路188号吉利百矿集团有限公司开标室</w:t>
      </w:r>
    </w:p>
    <w:p>
      <w:pPr>
        <w:spacing w:line="440" w:lineRule="exact"/>
        <w:ind w:firstLine="480" w:firstLineChars="200"/>
        <w:jc w:val="left"/>
        <w:rPr>
          <w:rFonts w:hint="eastAsia" w:ascii="微软雅黑" w:hAnsi="微软雅黑" w:eastAsia="微软雅黑" w:cs="微软雅黑"/>
          <w:bCs/>
          <w:sz w:val="24"/>
          <w:szCs w:val="24"/>
          <w:highlight w:val="none"/>
          <w:lang w:eastAsia="zh-CN"/>
        </w:rPr>
      </w:pPr>
      <w:r>
        <w:rPr>
          <w:rFonts w:hint="eastAsia" w:ascii="微软雅黑" w:hAnsi="微软雅黑" w:eastAsia="微软雅黑" w:cs="微软雅黑"/>
          <w:bCs/>
          <w:sz w:val="24"/>
          <w:szCs w:val="24"/>
          <w:highlight w:val="none"/>
          <w:lang w:eastAsia="zh-CN"/>
        </w:rPr>
        <w:t>邮编：</w:t>
      </w:r>
      <w:r>
        <w:rPr>
          <w:rFonts w:hint="eastAsia" w:ascii="微软雅黑" w:hAnsi="微软雅黑" w:eastAsia="微软雅黑" w:cs="微软雅黑"/>
          <w:bCs/>
          <w:sz w:val="24"/>
          <w:szCs w:val="24"/>
          <w:highlight w:val="none"/>
          <w:lang w:val="en-US" w:eastAsia="zh-CN"/>
        </w:rPr>
        <w:t>533099</w:t>
      </w:r>
    </w:p>
    <w:p>
      <w:pPr>
        <w:spacing w:line="440" w:lineRule="exact"/>
        <w:ind w:firstLine="480" w:firstLineChars="200"/>
        <w:jc w:val="left"/>
        <w:rPr>
          <w:rFonts w:hint="eastAsia" w:ascii="微软雅黑" w:hAnsi="微软雅黑" w:eastAsia="微软雅黑" w:cs="微软雅黑"/>
          <w:bCs/>
          <w:sz w:val="24"/>
          <w:szCs w:val="24"/>
          <w:highlight w:val="none"/>
          <w:lang w:eastAsia="zh-CN"/>
        </w:rPr>
      </w:pPr>
      <w:r>
        <w:rPr>
          <w:rFonts w:hint="eastAsia" w:ascii="微软雅黑" w:hAnsi="微软雅黑" w:eastAsia="微软雅黑" w:cs="微软雅黑"/>
          <w:bCs/>
          <w:sz w:val="24"/>
          <w:szCs w:val="24"/>
          <w:highlight w:val="none"/>
          <w:lang w:eastAsia="zh-CN"/>
        </w:rPr>
        <w:t>商务：</w:t>
      </w:r>
      <w:r>
        <w:rPr>
          <w:rFonts w:hint="eastAsia" w:ascii="微软雅黑" w:hAnsi="微软雅黑" w:eastAsia="微软雅黑" w:cs="微软雅黑"/>
          <w:bCs/>
          <w:sz w:val="24"/>
          <w:szCs w:val="24"/>
          <w:highlight w:val="none"/>
          <w:lang w:val="en-US" w:eastAsia="zh-CN"/>
        </w:rPr>
        <w:t>罗貌</w:t>
      </w:r>
      <w:r>
        <w:rPr>
          <w:rFonts w:hint="eastAsia" w:ascii="微软雅黑" w:hAnsi="微软雅黑" w:eastAsia="微软雅黑" w:cs="微软雅黑"/>
          <w:bCs/>
          <w:sz w:val="24"/>
          <w:szCs w:val="24"/>
          <w:highlight w:val="none"/>
          <w:lang w:eastAsia="zh-CN"/>
        </w:rPr>
        <w:t xml:space="preserve">  手机号 ：13978027196</w:t>
      </w:r>
      <w:r>
        <w:rPr>
          <w:rFonts w:hint="eastAsia" w:ascii="微软雅黑" w:hAnsi="微软雅黑" w:eastAsia="微软雅黑" w:cs="微软雅黑"/>
          <w:bCs/>
          <w:sz w:val="24"/>
          <w:szCs w:val="24"/>
          <w:highlight w:val="none"/>
          <w:lang w:val="en-US" w:eastAsia="zh-CN"/>
        </w:rPr>
        <w:t xml:space="preserve"> </w:t>
      </w:r>
      <w:r>
        <w:rPr>
          <w:rFonts w:hint="eastAsia" w:ascii="微软雅黑" w:hAnsi="微软雅黑" w:eastAsia="微软雅黑" w:cs="微软雅黑"/>
          <w:bCs/>
          <w:sz w:val="24"/>
          <w:szCs w:val="24"/>
          <w:highlight w:val="none"/>
          <w:lang w:eastAsia="zh-CN"/>
        </w:rPr>
        <w:t> E-mail:</w:t>
      </w:r>
      <w:r>
        <w:rPr>
          <w:rFonts w:hint="eastAsia" w:ascii="微软雅黑" w:hAnsi="微软雅黑" w:eastAsia="微软雅黑" w:cs="微软雅黑"/>
          <w:bCs/>
          <w:sz w:val="24"/>
          <w:szCs w:val="24"/>
          <w:highlight w:val="none"/>
          <w:lang w:val="en-US" w:eastAsia="zh-CN"/>
        </w:rPr>
        <w:t>Mao.Luo@geely.com</w:t>
      </w:r>
    </w:p>
    <w:p>
      <w:pPr>
        <w:spacing w:line="440" w:lineRule="exact"/>
        <w:ind w:firstLine="480" w:firstLineChars="200"/>
        <w:jc w:val="left"/>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技术：农金明  手机号：13977630590  E-mail:Jinming.Nong@geely.com</w:t>
      </w:r>
    </w:p>
    <w:p>
      <w:pPr>
        <w:spacing w:line="440" w:lineRule="exact"/>
        <w:ind w:firstLine="480" w:firstLineChars="200"/>
        <w:jc w:val="left"/>
        <w:rPr>
          <w:rFonts w:hint="eastAsia" w:ascii="微软雅黑" w:hAnsi="微软雅黑" w:eastAsia="微软雅黑" w:cs="微软雅黑"/>
          <w:b/>
          <w:bCs w:val="0"/>
          <w:sz w:val="24"/>
          <w:szCs w:val="24"/>
          <w:highlight w:val="none"/>
        </w:rPr>
      </w:pPr>
      <w:r>
        <w:rPr>
          <w:rFonts w:hint="eastAsia" w:ascii="微软雅黑" w:hAnsi="微软雅黑" w:eastAsia="微软雅黑" w:cs="微软雅黑"/>
          <w:b/>
          <w:bCs w:val="0"/>
          <w:sz w:val="24"/>
          <w:szCs w:val="24"/>
          <w:highlight w:val="none"/>
        </w:rPr>
        <w:t>收款单位名称：吉利百矿集团有限公司</w:t>
      </w:r>
    </w:p>
    <w:p>
      <w:pPr>
        <w:spacing w:line="440" w:lineRule="exact"/>
        <w:ind w:firstLine="480" w:firstLineChars="200"/>
        <w:jc w:val="left"/>
        <w:rPr>
          <w:rFonts w:hint="eastAsia" w:ascii="微软雅黑" w:hAnsi="微软雅黑" w:eastAsia="微软雅黑" w:cs="微软雅黑"/>
          <w:b/>
          <w:bCs w:val="0"/>
          <w:sz w:val="24"/>
          <w:szCs w:val="24"/>
          <w:highlight w:val="none"/>
        </w:rPr>
      </w:pPr>
      <w:r>
        <w:rPr>
          <w:rFonts w:hint="eastAsia" w:ascii="微软雅黑" w:hAnsi="微软雅黑" w:eastAsia="微软雅黑" w:cs="微软雅黑"/>
          <w:b/>
          <w:bCs w:val="0"/>
          <w:sz w:val="24"/>
          <w:szCs w:val="24"/>
          <w:highlight w:val="none"/>
        </w:rPr>
        <w:t>开户行：建设银行百色中山支行</w:t>
      </w:r>
    </w:p>
    <w:p>
      <w:pPr>
        <w:spacing w:line="440" w:lineRule="exact"/>
        <w:ind w:firstLine="480" w:firstLineChars="200"/>
        <w:jc w:val="left"/>
        <w:rPr>
          <w:rFonts w:hint="eastAsia" w:ascii="微软雅黑" w:hAnsi="微软雅黑" w:eastAsia="微软雅黑" w:cs="微软雅黑"/>
          <w:bCs/>
          <w:sz w:val="24"/>
          <w:szCs w:val="24"/>
          <w:highlight w:val="none"/>
        </w:rPr>
      </w:pPr>
      <w:r>
        <w:rPr>
          <w:rFonts w:hint="eastAsia" w:ascii="微软雅黑" w:hAnsi="微软雅黑" w:eastAsia="微软雅黑" w:cs="微软雅黑"/>
          <w:b/>
          <w:bCs w:val="0"/>
          <w:sz w:val="24"/>
          <w:szCs w:val="24"/>
          <w:highlight w:val="none"/>
        </w:rPr>
        <w:t>帐号：4500167611405070270</w:t>
      </w:r>
      <w:r>
        <w:rPr>
          <w:rFonts w:hint="eastAsia" w:ascii="微软雅黑" w:hAnsi="微软雅黑" w:eastAsia="微软雅黑" w:cs="微软雅黑"/>
          <w:bCs/>
          <w:sz w:val="24"/>
          <w:szCs w:val="24"/>
          <w:highlight w:val="none"/>
        </w:rPr>
        <w:t>0</w:t>
      </w:r>
    </w:p>
    <w:p>
      <w:pPr>
        <w:spacing w:line="440" w:lineRule="exact"/>
        <w:ind w:firstLine="480" w:firstLineChars="200"/>
        <w:jc w:val="lef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注：无论投标结果如何，投标人自行承担所有与参加投标活动有关的全部费用。</w:t>
      </w:r>
    </w:p>
    <w:p>
      <w:pPr>
        <w:spacing w:line="440" w:lineRule="exact"/>
        <w:ind w:firstLine="480" w:firstLineChars="200"/>
        <w:jc w:val="lef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投诉、举报电话：0571-28098168（供应链管理部）</w:t>
      </w:r>
    </w:p>
    <w:p>
      <w:pPr>
        <w:spacing w:line="440" w:lineRule="exact"/>
        <w:ind w:firstLine="480" w:firstLineChars="200"/>
        <w:jc w:val="lef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举报邮箱：geelytech.bid@geely.com</w:t>
      </w:r>
    </w:p>
    <w:p>
      <w:pPr>
        <w:spacing w:line="440" w:lineRule="exact"/>
        <w:ind w:firstLine="480" w:firstLineChars="200"/>
        <w:jc w:val="right"/>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rPr>
        <w:t>招标</w:t>
      </w:r>
      <w:r>
        <w:rPr>
          <w:rFonts w:hint="eastAsia" w:ascii="微软雅黑" w:hAnsi="微软雅黑" w:eastAsia="微软雅黑" w:cs="微软雅黑"/>
          <w:bCs/>
          <w:sz w:val="24"/>
          <w:szCs w:val="24"/>
          <w:highlight w:val="none"/>
          <w:lang w:eastAsia="zh-CN"/>
        </w:rPr>
        <w:t>组织单位</w:t>
      </w:r>
      <w:r>
        <w:rPr>
          <w:rFonts w:hint="eastAsia" w:ascii="微软雅黑" w:hAnsi="微软雅黑" w:eastAsia="微软雅黑" w:cs="微软雅黑"/>
          <w:bCs/>
          <w:sz w:val="24"/>
          <w:szCs w:val="24"/>
          <w:highlight w:val="none"/>
        </w:rPr>
        <w:t>：</w:t>
      </w:r>
      <w:r>
        <w:rPr>
          <w:rFonts w:hint="eastAsia" w:ascii="微软雅黑" w:hAnsi="微软雅黑" w:eastAsia="微软雅黑" w:cs="微软雅黑"/>
          <w:color w:val="auto"/>
          <w:sz w:val="24"/>
          <w:szCs w:val="24"/>
          <w:highlight w:val="none"/>
          <w:lang w:val="en-US" w:eastAsia="zh-CN"/>
        </w:rPr>
        <w:t>吉利百矿集团有限公司</w:t>
      </w:r>
    </w:p>
    <w:p>
      <w:pPr>
        <w:spacing w:line="440" w:lineRule="exact"/>
        <w:ind w:firstLine="480" w:firstLineChars="200"/>
        <w:jc w:val="right"/>
        <w:rPr>
          <w:rFonts w:hint="eastAsia" w:ascii="微软雅黑" w:hAnsi="微软雅黑" w:eastAsia="微软雅黑" w:cs="微软雅黑"/>
          <w:highlight w:val="none"/>
          <w:lang w:eastAsia="zh-CN"/>
        </w:rPr>
      </w:pPr>
      <w:r>
        <w:rPr>
          <w:rFonts w:hint="eastAsia" w:ascii="微软雅黑" w:hAnsi="微软雅黑" w:eastAsia="微软雅黑" w:cs="微软雅黑"/>
          <w:bCs/>
          <w:sz w:val="24"/>
          <w:szCs w:val="24"/>
          <w:highlight w:val="none"/>
        </w:rPr>
        <w:t>日期：20</w:t>
      </w:r>
      <w:r>
        <w:rPr>
          <w:rFonts w:hint="eastAsia" w:ascii="微软雅黑" w:hAnsi="微软雅黑" w:eastAsia="微软雅黑" w:cs="微软雅黑"/>
          <w:bCs/>
          <w:sz w:val="24"/>
          <w:szCs w:val="24"/>
          <w:highlight w:val="none"/>
          <w:lang w:val="en-US" w:eastAsia="zh-CN"/>
        </w:rPr>
        <w:t>23</w:t>
      </w:r>
      <w:r>
        <w:rPr>
          <w:rFonts w:hint="eastAsia" w:ascii="微软雅黑" w:hAnsi="微软雅黑" w:eastAsia="微软雅黑" w:cs="微软雅黑"/>
          <w:bCs/>
          <w:sz w:val="24"/>
          <w:szCs w:val="24"/>
          <w:highlight w:val="none"/>
        </w:rPr>
        <w:t>年</w:t>
      </w:r>
      <w:r>
        <w:rPr>
          <w:rFonts w:hint="eastAsia" w:ascii="微软雅黑" w:hAnsi="微软雅黑" w:eastAsia="微软雅黑" w:cs="微软雅黑"/>
          <w:bCs/>
          <w:sz w:val="24"/>
          <w:szCs w:val="24"/>
          <w:highlight w:val="none"/>
          <w:lang w:val="en-US" w:eastAsia="zh-CN"/>
        </w:rPr>
        <w:t>07</w:t>
      </w:r>
      <w:r>
        <w:rPr>
          <w:rFonts w:hint="eastAsia" w:ascii="微软雅黑" w:hAnsi="微软雅黑" w:eastAsia="微软雅黑" w:cs="微软雅黑"/>
          <w:bCs/>
          <w:sz w:val="24"/>
          <w:szCs w:val="24"/>
          <w:highlight w:val="none"/>
        </w:rPr>
        <w:t>月</w:t>
      </w:r>
      <w:r>
        <w:rPr>
          <w:rFonts w:hint="eastAsia" w:ascii="微软雅黑" w:hAnsi="微软雅黑" w:eastAsia="微软雅黑" w:cs="微软雅黑"/>
          <w:bCs/>
          <w:sz w:val="24"/>
          <w:szCs w:val="24"/>
          <w:highlight w:val="none"/>
          <w:lang w:val="en-US" w:eastAsia="zh-CN"/>
        </w:rPr>
        <w:t>07</w:t>
      </w:r>
      <w:r>
        <w:rPr>
          <w:rFonts w:hint="eastAsia" w:ascii="微软雅黑" w:hAnsi="微软雅黑" w:eastAsia="微软雅黑" w:cs="微软雅黑"/>
          <w:bCs/>
          <w:sz w:val="24"/>
          <w:szCs w:val="24"/>
          <w:highlight w:val="none"/>
        </w:rPr>
        <w:t xml:space="preserve">日 </w:t>
      </w:r>
    </w:p>
    <w:sectPr>
      <w:headerReference r:id="rId3" w:type="default"/>
      <w:footerReference r:id="rId4" w:type="default"/>
      <w:footerReference r:id="rId5" w:type="even"/>
      <w:pgSz w:w="11906" w:h="16838"/>
      <w:pgMar w:top="1417" w:right="1417" w:bottom="1134" w:left="141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heme="minorEastAsia" w:hAnsiTheme="minorEastAsia"/>
        <w:sz w:val="24"/>
        <w:szCs w:val="24"/>
      </w:rPr>
    </w:pPr>
    <w:r>
      <w:rPr>
        <w:rFonts w:hint="eastAsia" w:asciiTheme="minorEastAsia" w:hAnsiTheme="minorEastAsia"/>
        <w:sz w:val="24"/>
        <w:szCs w:val="24"/>
      </w:rPr>
      <w:t>-2-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504CDA"/>
    <w:multiLevelType w:val="singleLevel"/>
    <w:tmpl w:val="F3504CDA"/>
    <w:lvl w:ilvl="0" w:tentative="0">
      <w:start w:val="1"/>
      <w:numFmt w:val="lowerLetter"/>
      <w:lvlText w:val="%1."/>
      <w:lvlJc w:val="left"/>
      <w:pPr>
        <w:ind w:left="425" w:hanging="425"/>
      </w:pPr>
      <w:rPr>
        <w:rFonts w:hint="default"/>
      </w:rPr>
    </w:lvl>
  </w:abstractNum>
  <w:abstractNum w:abstractNumId="1">
    <w:nsid w:val="68F1DC69"/>
    <w:multiLevelType w:val="singleLevel"/>
    <w:tmpl w:val="68F1DC69"/>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NDc0NDE5NjE1YWFmMWRjOGFhNzA2OTYzNzZmNTAifQ=="/>
  </w:docVars>
  <w:rsids>
    <w:rsidRoot w:val="00172A27"/>
    <w:rsid w:val="00045F8B"/>
    <w:rsid w:val="001D7D8F"/>
    <w:rsid w:val="00853475"/>
    <w:rsid w:val="01145609"/>
    <w:rsid w:val="013E61E2"/>
    <w:rsid w:val="0176292B"/>
    <w:rsid w:val="01F514E4"/>
    <w:rsid w:val="02186A33"/>
    <w:rsid w:val="024D2111"/>
    <w:rsid w:val="02557C87"/>
    <w:rsid w:val="02B046A6"/>
    <w:rsid w:val="02B510FA"/>
    <w:rsid w:val="02B75FD8"/>
    <w:rsid w:val="02FB4A5D"/>
    <w:rsid w:val="03261624"/>
    <w:rsid w:val="03391357"/>
    <w:rsid w:val="035809D3"/>
    <w:rsid w:val="036000C3"/>
    <w:rsid w:val="03822CFE"/>
    <w:rsid w:val="03CF73B2"/>
    <w:rsid w:val="047B2B1B"/>
    <w:rsid w:val="04B97278"/>
    <w:rsid w:val="05187315"/>
    <w:rsid w:val="055867A9"/>
    <w:rsid w:val="065B3392"/>
    <w:rsid w:val="08066011"/>
    <w:rsid w:val="08294F11"/>
    <w:rsid w:val="08E6448C"/>
    <w:rsid w:val="092B7632"/>
    <w:rsid w:val="09D53AAE"/>
    <w:rsid w:val="0A4A209B"/>
    <w:rsid w:val="0AB2474C"/>
    <w:rsid w:val="0AFA0912"/>
    <w:rsid w:val="0B1D3D7C"/>
    <w:rsid w:val="0C55174C"/>
    <w:rsid w:val="0C75747C"/>
    <w:rsid w:val="0C8124EB"/>
    <w:rsid w:val="0CA5394B"/>
    <w:rsid w:val="0CB11563"/>
    <w:rsid w:val="0D505C1B"/>
    <w:rsid w:val="0E767028"/>
    <w:rsid w:val="0F3F1AA3"/>
    <w:rsid w:val="0F5C0D94"/>
    <w:rsid w:val="10C233A9"/>
    <w:rsid w:val="10EC5B3E"/>
    <w:rsid w:val="11126CAC"/>
    <w:rsid w:val="11740BD7"/>
    <w:rsid w:val="11DA1F24"/>
    <w:rsid w:val="11E44815"/>
    <w:rsid w:val="12165383"/>
    <w:rsid w:val="12296A3A"/>
    <w:rsid w:val="12F31522"/>
    <w:rsid w:val="132E71BB"/>
    <w:rsid w:val="13574F3A"/>
    <w:rsid w:val="138E06B8"/>
    <w:rsid w:val="143A44EA"/>
    <w:rsid w:val="146A5792"/>
    <w:rsid w:val="146C382B"/>
    <w:rsid w:val="14EA231D"/>
    <w:rsid w:val="150A2F6F"/>
    <w:rsid w:val="151439D2"/>
    <w:rsid w:val="153E114C"/>
    <w:rsid w:val="156644E7"/>
    <w:rsid w:val="15866F89"/>
    <w:rsid w:val="158D1F4D"/>
    <w:rsid w:val="15FA0478"/>
    <w:rsid w:val="165A52E4"/>
    <w:rsid w:val="168009DC"/>
    <w:rsid w:val="1689600C"/>
    <w:rsid w:val="169336AF"/>
    <w:rsid w:val="17DA4A5F"/>
    <w:rsid w:val="183B2BE1"/>
    <w:rsid w:val="185674AB"/>
    <w:rsid w:val="18B47BD7"/>
    <w:rsid w:val="19B317F0"/>
    <w:rsid w:val="19EC0189"/>
    <w:rsid w:val="1AAF3709"/>
    <w:rsid w:val="1B7E2F52"/>
    <w:rsid w:val="1BD23F86"/>
    <w:rsid w:val="1C867D1E"/>
    <w:rsid w:val="1CA757D2"/>
    <w:rsid w:val="1CF2587F"/>
    <w:rsid w:val="1DF833A9"/>
    <w:rsid w:val="1E012619"/>
    <w:rsid w:val="1E625304"/>
    <w:rsid w:val="1EF94E9C"/>
    <w:rsid w:val="1F5E6095"/>
    <w:rsid w:val="205C71BD"/>
    <w:rsid w:val="20716543"/>
    <w:rsid w:val="21AB121A"/>
    <w:rsid w:val="21DE79D4"/>
    <w:rsid w:val="22095287"/>
    <w:rsid w:val="22166BA9"/>
    <w:rsid w:val="221C055F"/>
    <w:rsid w:val="2227222A"/>
    <w:rsid w:val="224F4422"/>
    <w:rsid w:val="225A73C1"/>
    <w:rsid w:val="22D0336F"/>
    <w:rsid w:val="235B2DA4"/>
    <w:rsid w:val="23781319"/>
    <w:rsid w:val="23A510A9"/>
    <w:rsid w:val="23D8367D"/>
    <w:rsid w:val="23F34CD8"/>
    <w:rsid w:val="247F5B01"/>
    <w:rsid w:val="25A0388E"/>
    <w:rsid w:val="25EF3DCB"/>
    <w:rsid w:val="26202C93"/>
    <w:rsid w:val="266A026F"/>
    <w:rsid w:val="26B24DF9"/>
    <w:rsid w:val="26F50A4F"/>
    <w:rsid w:val="27486A51"/>
    <w:rsid w:val="278E6208"/>
    <w:rsid w:val="28001741"/>
    <w:rsid w:val="28E676DC"/>
    <w:rsid w:val="290D1F44"/>
    <w:rsid w:val="29562F4A"/>
    <w:rsid w:val="2A487B51"/>
    <w:rsid w:val="2A562521"/>
    <w:rsid w:val="2A664A66"/>
    <w:rsid w:val="2AC31A97"/>
    <w:rsid w:val="2AFA6CE1"/>
    <w:rsid w:val="2BAE1354"/>
    <w:rsid w:val="2C2010AB"/>
    <w:rsid w:val="2C3B13EC"/>
    <w:rsid w:val="2C9973F8"/>
    <w:rsid w:val="2D086A5A"/>
    <w:rsid w:val="2D6E2B18"/>
    <w:rsid w:val="2DB16E8B"/>
    <w:rsid w:val="2E44718D"/>
    <w:rsid w:val="2E8250B1"/>
    <w:rsid w:val="2FD47B8E"/>
    <w:rsid w:val="30691BEE"/>
    <w:rsid w:val="309B7A48"/>
    <w:rsid w:val="30A0299D"/>
    <w:rsid w:val="30B12B8E"/>
    <w:rsid w:val="30F6566A"/>
    <w:rsid w:val="31A82723"/>
    <w:rsid w:val="32071453"/>
    <w:rsid w:val="323370A9"/>
    <w:rsid w:val="32E21E22"/>
    <w:rsid w:val="33484942"/>
    <w:rsid w:val="33813D19"/>
    <w:rsid w:val="35872826"/>
    <w:rsid w:val="36FA581D"/>
    <w:rsid w:val="372D5FD0"/>
    <w:rsid w:val="383E03FD"/>
    <w:rsid w:val="384A3BEB"/>
    <w:rsid w:val="38E06631"/>
    <w:rsid w:val="39441B6C"/>
    <w:rsid w:val="3A20148E"/>
    <w:rsid w:val="3A335C4A"/>
    <w:rsid w:val="3A4E5CD0"/>
    <w:rsid w:val="3A932306"/>
    <w:rsid w:val="3B950B19"/>
    <w:rsid w:val="3B9A612F"/>
    <w:rsid w:val="3BC5272B"/>
    <w:rsid w:val="3BF23CE7"/>
    <w:rsid w:val="3BF76C89"/>
    <w:rsid w:val="3C844C04"/>
    <w:rsid w:val="3CB704EE"/>
    <w:rsid w:val="3CF7166D"/>
    <w:rsid w:val="3D4249FF"/>
    <w:rsid w:val="3D527AF5"/>
    <w:rsid w:val="3D5567B2"/>
    <w:rsid w:val="3E304603"/>
    <w:rsid w:val="3F4A6A3A"/>
    <w:rsid w:val="3F743FA6"/>
    <w:rsid w:val="3FCC2FD1"/>
    <w:rsid w:val="40285C30"/>
    <w:rsid w:val="410E6A76"/>
    <w:rsid w:val="41764A2B"/>
    <w:rsid w:val="41B67580"/>
    <w:rsid w:val="43B31BBC"/>
    <w:rsid w:val="449D459A"/>
    <w:rsid w:val="44FE459A"/>
    <w:rsid w:val="46004114"/>
    <w:rsid w:val="469D2CCA"/>
    <w:rsid w:val="46D737FF"/>
    <w:rsid w:val="47285F3F"/>
    <w:rsid w:val="477A5B14"/>
    <w:rsid w:val="48102E25"/>
    <w:rsid w:val="48376942"/>
    <w:rsid w:val="48752B3F"/>
    <w:rsid w:val="48DB4BFB"/>
    <w:rsid w:val="48DF056F"/>
    <w:rsid w:val="491C59AD"/>
    <w:rsid w:val="499B232F"/>
    <w:rsid w:val="49AB37D4"/>
    <w:rsid w:val="49D449EB"/>
    <w:rsid w:val="4A7531D6"/>
    <w:rsid w:val="4B165404"/>
    <w:rsid w:val="4B3F6DC9"/>
    <w:rsid w:val="4BA23901"/>
    <w:rsid w:val="4BB226CF"/>
    <w:rsid w:val="4CAF749A"/>
    <w:rsid w:val="4CDF6259"/>
    <w:rsid w:val="4D1D271C"/>
    <w:rsid w:val="4D29462F"/>
    <w:rsid w:val="4D816991"/>
    <w:rsid w:val="4F505DEA"/>
    <w:rsid w:val="4F732300"/>
    <w:rsid w:val="4F7468BD"/>
    <w:rsid w:val="4FAC4FDD"/>
    <w:rsid w:val="4FDA433C"/>
    <w:rsid w:val="4FE334D3"/>
    <w:rsid w:val="4FEB1C3C"/>
    <w:rsid w:val="4FF30377"/>
    <w:rsid w:val="506F3094"/>
    <w:rsid w:val="50E1774A"/>
    <w:rsid w:val="50EB4750"/>
    <w:rsid w:val="5120099F"/>
    <w:rsid w:val="51DF2696"/>
    <w:rsid w:val="5272689E"/>
    <w:rsid w:val="52974D1F"/>
    <w:rsid w:val="53577B1A"/>
    <w:rsid w:val="539A0248"/>
    <w:rsid w:val="540B4978"/>
    <w:rsid w:val="541067D7"/>
    <w:rsid w:val="550448B0"/>
    <w:rsid w:val="55496A0F"/>
    <w:rsid w:val="55850499"/>
    <w:rsid w:val="55F41EB4"/>
    <w:rsid w:val="57ED1672"/>
    <w:rsid w:val="583A6878"/>
    <w:rsid w:val="58FB441B"/>
    <w:rsid w:val="595461AF"/>
    <w:rsid w:val="59631FEE"/>
    <w:rsid w:val="596439B2"/>
    <w:rsid w:val="59AF6DF2"/>
    <w:rsid w:val="5A63421E"/>
    <w:rsid w:val="5ACA62B5"/>
    <w:rsid w:val="5AD45511"/>
    <w:rsid w:val="5AF04D43"/>
    <w:rsid w:val="5BB12BF2"/>
    <w:rsid w:val="5C0022CD"/>
    <w:rsid w:val="5C006A47"/>
    <w:rsid w:val="5C8A4190"/>
    <w:rsid w:val="5CB87248"/>
    <w:rsid w:val="5CD44FEB"/>
    <w:rsid w:val="5D184CAE"/>
    <w:rsid w:val="5D963C63"/>
    <w:rsid w:val="5DBE7604"/>
    <w:rsid w:val="5E09758C"/>
    <w:rsid w:val="5E1A1B35"/>
    <w:rsid w:val="5ED163CC"/>
    <w:rsid w:val="5EF15762"/>
    <w:rsid w:val="605472D8"/>
    <w:rsid w:val="60681DE6"/>
    <w:rsid w:val="60AE3C5C"/>
    <w:rsid w:val="61757449"/>
    <w:rsid w:val="61A134C4"/>
    <w:rsid w:val="628E67D5"/>
    <w:rsid w:val="63227A39"/>
    <w:rsid w:val="6331362E"/>
    <w:rsid w:val="635A5109"/>
    <w:rsid w:val="636A54E7"/>
    <w:rsid w:val="64E64BB9"/>
    <w:rsid w:val="658E4A0B"/>
    <w:rsid w:val="65CC5CFA"/>
    <w:rsid w:val="668F6144"/>
    <w:rsid w:val="676C0174"/>
    <w:rsid w:val="678B3253"/>
    <w:rsid w:val="67A12167"/>
    <w:rsid w:val="69366FB6"/>
    <w:rsid w:val="69392234"/>
    <w:rsid w:val="69805CFC"/>
    <w:rsid w:val="6A357B03"/>
    <w:rsid w:val="6A376BF7"/>
    <w:rsid w:val="6AA21219"/>
    <w:rsid w:val="6AE02E8A"/>
    <w:rsid w:val="6C58731C"/>
    <w:rsid w:val="6C7F4402"/>
    <w:rsid w:val="6D070820"/>
    <w:rsid w:val="6D3D10EF"/>
    <w:rsid w:val="6E1A52CF"/>
    <w:rsid w:val="6E9478B9"/>
    <w:rsid w:val="6F7C517B"/>
    <w:rsid w:val="70F47EB4"/>
    <w:rsid w:val="70F74E78"/>
    <w:rsid w:val="70FA6B7B"/>
    <w:rsid w:val="71B022EE"/>
    <w:rsid w:val="72184E0E"/>
    <w:rsid w:val="72184E79"/>
    <w:rsid w:val="72D509D3"/>
    <w:rsid w:val="72DC7494"/>
    <w:rsid w:val="735F6D3B"/>
    <w:rsid w:val="73F333D3"/>
    <w:rsid w:val="7416204E"/>
    <w:rsid w:val="742529DB"/>
    <w:rsid w:val="74D773B5"/>
    <w:rsid w:val="75D44595"/>
    <w:rsid w:val="75E20A21"/>
    <w:rsid w:val="75EC2C69"/>
    <w:rsid w:val="76305605"/>
    <w:rsid w:val="76515A45"/>
    <w:rsid w:val="76D07E61"/>
    <w:rsid w:val="76E13C50"/>
    <w:rsid w:val="76E83563"/>
    <w:rsid w:val="76F94EB0"/>
    <w:rsid w:val="771E18A7"/>
    <w:rsid w:val="77440722"/>
    <w:rsid w:val="77543075"/>
    <w:rsid w:val="77581B01"/>
    <w:rsid w:val="77A91853"/>
    <w:rsid w:val="78F17C07"/>
    <w:rsid w:val="796D313F"/>
    <w:rsid w:val="7A742A22"/>
    <w:rsid w:val="7B0C0F79"/>
    <w:rsid w:val="7B332D7F"/>
    <w:rsid w:val="7CF6117F"/>
    <w:rsid w:val="7CF84B53"/>
    <w:rsid w:val="7D390712"/>
    <w:rsid w:val="7D4D43F3"/>
    <w:rsid w:val="7E16443C"/>
    <w:rsid w:val="7EF22D57"/>
    <w:rsid w:val="7EFA31DC"/>
    <w:rsid w:val="7F836AAF"/>
    <w:rsid w:val="7FF57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b/>
      <w:kern w:val="44"/>
      <w:sz w:val="48"/>
      <w:szCs w:val="48"/>
      <w:lang w:val="en-US" w:eastAsia="zh-CN" w:bidi="ar"/>
    </w:rPr>
  </w:style>
  <w:style w:type="paragraph" w:styleId="4">
    <w:name w:val="heading 3"/>
    <w:basedOn w:val="2"/>
    <w:next w:val="2"/>
    <w:qFormat/>
    <w:uiPriority w:val="0"/>
    <w:pPr>
      <w:wordWrap w:val="0"/>
      <w:spacing w:after="160"/>
      <w:ind w:left="1400" w:hanging="400"/>
      <w:jc w:val="both"/>
      <w:outlineLvl w:val="2"/>
    </w:pPr>
    <w:rPr>
      <w:sz w:val="21"/>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
    <w:name w:val="Body Text Indent"/>
    <w:basedOn w:val="1"/>
    <w:qFormat/>
    <w:uiPriority w:val="0"/>
    <w:pPr>
      <w:ind w:firstLine="444"/>
    </w:pPr>
    <w:rPr>
      <w:b/>
      <w:sz w:val="24"/>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2"/>
    <w:basedOn w:val="5"/>
    <w:next w:val="1"/>
    <w:unhideWhenUsed/>
    <w:qFormat/>
    <w:uiPriority w:val="99"/>
    <w:pPr>
      <w:spacing w:after="120"/>
      <w:ind w:left="420" w:leftChars="200" w:firstLine="420" w:firstLineChars="200"/>
    </w:pPr>
    <w:rPr>
      <w:b w:val="0"/>
      <w:sz w:val="21"/>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FollowedHyperlink"/>
    <w:basedOn w:val="12"/>
    <w:qFormat/>
    <w:uiPriority w:val="0"/>
    <w:rPr>
      <w:color w:val="444444"/>
      <w:u w:val="none"/>
    </w:rPr>
  </w:style>
  <w:style w:type="character" w:styleId="15">
    <w:name w:val="Emphasis"/>
    <w:basedOn w:val="12"/>
    <w:qFormat/>
    <w:uiPriority w:val="0"/>
    <w:rPr>
      <w:rFonts w:hint="eastAsia" w:ascii="微软雅黑" w:hAnsi="微软雅黑" w:eastAsia="微软雅黑" w:cs="微软雅黑"/>
    </w:rPr>
  </w:style>
  <w:style w:type="character" w:styleId="16">
    <w:name w:val="Hyperlink"/>
    <w:basedOn w:val="12"/>
    <w:qFormat/>
    <w:uiPriority w:val="0"/>
    <w:rPr>
      <w:color w:val="444444"/>
      <w:u w:val="none"/>
    </w:rPr>
  </w:style>
  <w:style w:type="character" w:customStyle="1" w:styleId="17">
    <w:name w:val="enter"/>
    <w:basedOn w:val="12"/>
    <w:qFormat/>
    <w:uiPriority w:val="0"/>
  </w:style>
  <w:style w:type="character" w:customStyle="1" w:styleId="18">
    <w:name w:val="realname"/>
    <w:basedOn w:val="12"/>
    <w:qFormat/>
    <w:uiPriority w:val="0"/>
  </w:style>
  <w:style w:type="character" w:customStyle="1" w:styleId="19">
    <w:name w:val="realname1"/>
    <w:basedOn w:val="12"/>
    <w:qFormat/>
    <w:uiPriority w:val="0"/>
  </w:style>
  <w:style w:type="character" w:customStyle="1" w:styleId="20">
    <w:name w:val="bwvip"/>
    <w:basedOn w:val="12"/>
    <w:qFormat/>
    <w:uiPriority w:val="0"/>
  </w:style>
  <w:style w:type="character" w:customStyle="1" w:styleId="21">
    <w:name w:val="vip"/>
    <w:basedOn w:val="12"/>
    <w:qFormat/>
    <w:uiPriority w:val="0"/>
  </w:style>
  <w:style w:type="character" w:customStyle="1" w:styleId="22">
    <w:name w:val="book"/>
    <w:basedOn w:val="12"/>
    <w:qFormat/>
    <w:uiPriority w:val="0"/>
  </w:style>
  <w:style w:type="character" w:customStyle="1" w:styleId="23">
    <w:name w:val="enter1"/>
    <w:basedOn w:val="12"/>
    <w:qFormat/>
    <w:uiPriority w:val="0"/>
  </w:style>
  <w:style w:type="paragraph" w:customStyle="1" w:styleId="24">
    <w:name w:val="Other|1"/>
    <w:basedOn w:val="1"/>
    <w:qFormat/>
    <w:uiPriority w:val="0"/>
    <w:pPr>
      <w:widowControl w:val="0"/>
      <w:shd w:val="clear" w:color="auto" w:fill="auto"/>
      <w:spacing w:line="434" w:lineRule="auto"/>
      <w:ind w:firstLine="400"/>
    </w:pPr>
    <w:rPr>
      <w:rFonts w:ascii="宋体" w:hAnsi="宋体" w:eastAsia="宋体" w:cs="宋体"/>
      <w:sz w:val="22"/>
      <w:szCs w:val="22"/>
      <w:u w:val="none"/>
      <w:shd w:val="clear" w:color="auto" w:fill="auto"/>
      <w:lang w:val="zh-TW" w:eastAsia="zh-TW" w:bidi="zh-TW"/>
    </w:rPr>
  </w:style>
  <w:style w:type="character" w:customStyle="1" w:styleId="25">
    <w:name w:val="font31"/>
    <w:basedOn w:val="12"/>
    <w:qFormat/>
    <w:uiPriority w:val="0"/>
    <w:rPr>
      <w:rFonts w:hint="default" w:ascii="等线" w:hAnsi="等线" w:eastAsia="等线" w:cs="等线"/>
      <w:color w:val="000000"/>
      <w:sz w:val="24"/>
      <w:szCs w:val="24"/>
      <w:u w:val="none"/>
    </w:rPr>
  </w:style>
  <w:style w:type="character" w:customStyle="1" w:styleId="26">
    <w:name w:val="font61"/>
    <w:basedOn w:val="12"/>
    <w:qFormat/>
    <w:uiPriority w:val="0"/>
    <w:rPr>
      <w:rFonts w:hint="eastAsia" w:ascii="宋体" w:hAnsi="宋体" w:eastAsia="宋体" w:cs="宋体"/>
      <w:color w:val="000000"/>
      <w:sz w:val="21"/>
      <w:szCs w:val="21"/>
      <w:u w:val="none"/>
    </w:rPr>
  </w:style>
  <w:style w:type="character" w:customStyle="1" w:styleId="27">
    <w:name w:val="font51"/>
    <w:basedOn w:val="12"/>
    <w:qFormat/>
    <w:uiPriority w:val="0"/>
    <w:rPr>
      <w:rFonts w:hint="eastAsia" w:ascii="宋体" w:hAnsi="宋体" w:eastAsia="宋体" w:cs="宋体"/>
      <w:color w:val="000000"/>
      <w:sz w:val="20"/>
      <w:szCs w:val="20"/>
      <w:u w:val="none"/>
    </w:rPr>
  </w:style>
  <w:style w:type="character" w:customStyle="1" w:styleId="28">
    <w:name w:val="font81"/>
    <w:basedOn w:val="12"/>
    <w:qFormat/>
    <w:uiPriority w:val="0"/>
    <w:rPr>
      <w:rFonts w:hint="default" w:ascii="Times New Roman" w:hAnsi="Times New Roman" w:cs="Times New Roman"/>
      <w:color w:val="000000"/>
      <w:sz w:val="21"/>
      <w:szCs w:val="21"/>
      <w:u w:val="none"/>
    </w:rPr>
  </w:style>
  <w:style w:type="paragraph" w:customStyle="1" w:styleId="29">
    <w:name w:val="Normal_9"/>
    <w:qFormat/>
    <w:uiPriority w:val="0"/>
    <w:pPr>
      <w:spacing w:before="120" w:after="240"/>
      <w:jc w:val="both"/>
    </w:pPr>
    <w:rPr>
      <w:rFonts w:ascii="Calibri" w:hAnsi="Calibri" w:eastAsia="Calibri" w:cs="Times New Roman"/>
      <w:sz w:val="22"/>
      <w:szCs w:val="22"/>
      <w:lang w:val="en-US" w:eastAsia="en-US" w:bidi="ar-SA"/>
    </w:rPr>
  </w:style>
  <w:style w:type="character" w:customStyle="1" w:styleId="30">
    <w:name w:val="font21"/>
    <w:qFormat/>
    <w:uiPriority w:val="0"/>
    <w:rPr>
      <w:rFonts w:hint="eastAsia" w:ascii="宋体" w:hAnsi="宋体" w:eastAsia="宋体"/>
      <w:color w:val="FF0000"/>
      <w:sz w:val="20"/>
      <w:szCs w:val="20"/>
      <w:u w:val="none"/>
    </w:rPr>
  </w:style>
  <w:style w:type="paragraph" w:customStyle="1" w:styleId="31">
    <w:name w:val="纯文本1"/>
    <w:basedOn w:val="1"/>
    <w:unhideWhenUsed/>
    <w:qFormat/>
    <w:uiPriority w:val="99"/>
    <w:pPr>
      <w:spacing w:beforeLines="0" w:afterLines="0"/>
    </w:pPr>
    <w:rPr>
      <w:rFonts w:hint="eastAsia" w:ascii="宋体" w:hAnsi="Courier New"/>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1606</Words>
  <Characters>1910</Characters>
  <Lines>0</Lines>
  <Paragraphs>0</Paragraphs>
  <TotalTime>4</TotalTime>
  <ScaleCrop>false</ScaleCrop>
  <LinksUpToDate>false</LinksUpToDate>
  <CharactersWithSpaces>1931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四夕羅</cp:lastModifiedBy>
  <cp:lastPrinted>2021-03-30T08:55:00Z</cp:lastPrinted>
  <dcterms:modified xsi:type="dcterms:W3CDTF">2023-07-07T06:13:53Z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8F174C172F3D4E179351CED9E42D6DA7</vt:lpwstr>
  </property>
</Properties>
</file>