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广西德保百矿发电有限公司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冷渣机进渣管波纹补偿器技术规范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甲方（全称）：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lang w:val="en-US" w:eastAsia="zh-CN"/>
        </w:rPr>
        <w:t>广西德保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百矿发电有限公司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</w:rPr>
        <w:t>乙方（全称）：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pacing w:line="400" w:lineRule="exac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广西德保</w:t>
      </w:r>
      <w:r>
        <w:rPr>
          <w:rFonts w:hint="eastAsia" w:ascii="宋体" w:hAnsi="宋体" w:eastAsia="宋体" w:cs="宋体"/>
          <w:color w:val="000000"/>
          <w:sz w:val="24"/>
        </w:rPr>
        <w:t>百矿发电有限公司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冷渣机进渣管波纹补偿器</w:t>
      </w:r>
      <w:r>
        <w:rPr>
          <w:rFonts w:hint="eastAsia" w:ascii="宋体" w:hAnsi="宋体" w:eastAsia="宋体" w:cs="宋体"/>
          <w:color w:val="000000"/>
          <w:sz w:val="24"/>
        </w:rPr>
        <w:t>采购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项目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项目地点：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广西德保百矿</w:t>
      </w:r>
      <w:r>
        <w:rPr>
          <w:rFonts w:hint="eastAsia" w:ascii="宋体" w:hAnsi="宋体" w:eastAsia="宋体" w:cs="宋体"/>
          <w:color w:val="000000"/>
          <w:sz w:val="24"/>
        </w:rPr>
        <w:t>发电有限公司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项目内容：乙方根据甲方技术要求和资料，负责设计制造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冷渣机进渣管波纹补偿器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pacing w:line="400" w:lineRule="exac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技术概述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color w:val="auto"/>
          <w:sz w:val="24"/>
          <w:szCs w:val="24"/>
        </w:rPr>
        <w:t>本</w:t>
      </w:r>
      <w:r>
        <w:rPr>
          <w:rFonts w:hint="eastAsia"/>
          <w:color w:val="auto"/>
          <w:sz w:val="24"/>
          <w:szCs w:val="24"/>
        </w:rPr>
        <w:t>技术规范书</w:t>
      </w:r>
      <w:r>
        <w:rPr>
          <w:rFonts w:hint="eastAsia"/>
          <w:color w:val="auto"/>
          <w:sz w:val="24"/>
          <w:szCs w:val="24"/>
          <w:lang w:val="en-US" w:eastAsia="zh-CN"/>
        </w:rPr>
        <w:t>提</w:t>
      </w:r>
      <w:r>
        <w:rPr>
          <w:color w:val="auto"/>
          <w:sz w:val="24"/>
          <w:szCs w:val="24"/>
        </w:rPr>
        <w:t>出的是最低限度的要求，并未对一切细节作出</w:t>
      </w:r>
      <w:r>
        <w:rPr>
          <w:rFonts w:hint="eastAsia"/>
          <w:color w:val="auto"/>
          <w:sz w:val="24"/>
          <w:szCs w:val="24"/>
        </w:rPr>
        <w:t>具体</w:t>
      </w:r>
      <w:r>
        <w:rPr>
          <w:color w:val="auto"/>
          <w:sz w:val="24"/>
          <w:szCs w:val="24"/>
        </w:rPr>
        <w:t>规定，也未充分引述有关标准和规范的条文。</w:t>
      </w:r>
      <w:r>
        <w:rPr>
          <w:rFonts w:hint="eastAsia"/>
          <w:color w:val="auto"/>
          <w:sz w:val="24"/>
          <w:szCs w:val="24"/>
        </w:rPr>
        <w:t>投标方</w:t>
      </w:r>
      <w:r>
        <w:rPr>
          <w:color w:val="auto"/>
          <w:sz w:val="24"/>
          <w:szCs w:val="24"/>
        </w:rPr>
        <w:t>保证提供符合本</w:t>
      </w:r>
      <w:r>
        <w:rPr>
          <w:rFonts w:hint="eastAsia"/>
          <w:color w:val="auto"/>
          <w:sz w:val="24"/>
          <w:szCs w:val="24"/>
        </w:rPr>
        <w:t>技术规范书</w:t>
      </w:r>
      <w:r>
        <w:rPr>
          <w:color w:val="auto"/>
          <w:sz w:val="24"/>
          <w:szCs w:val="24"/>
        </w:rPr>
        <w:t>和相关最新工业标准的</w:t>
      </w:r>
      <w:r>
        <w:rPr>
          <w:rFonts w:hint="eastAsia"/>
          <w:color w:val="auto"/>
          <w:sz w:val="24"/>
          <w:szCs w:val="24"/>
        </w:rPr>
        <w:t>、功能齐全的优质产品及其相应服务。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color w:val="auto"/>
          <w:sz w:val="24"/>
        </w:rPr>
        <w:t>如果投标方没有以书面对本技术规范书的条文提出异议，那么招标方可以认为投标方完全响应本技术规范书的要求。如有异议，不管是多么微小，都应在差异表中提出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投标方对所提供的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冷渣机进渣管波纹补偿器</w:t>
      </w:r>
      <w:r>
        <w:rPr>
          <w:rFonts w:hint="eastAsia"/>
          <w:color w:val="auto"/>
          <w:sz w:val="24"/>
          <w:szCs w:val="24"/>
        </w:rPr>
        <w:t>负有全责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在签订合同之后，招标方有权提出因规范标准和规程发生变化而产生的一些补充要求，具体项目由双方共同商定。本工程方案的重大变化投标方将及时通知招标方，当因主机参数发生变化或方案发生变化时而补充的变化要求，如不引起方案较大调整，设备不加价。</w:t>
      </w:r>
      <w:r>
        <w:rPr>
          <w:color w:val="auto"/>
          <w:sz w:val="24"/>
          <w:szCs w:val="24"/>
        </w:rPr>
        <w:t>招标方保留对本</w:t>
      </w:r>
      <w:r>
        <w:rPr>
          <w:rFonts w:hint="eastAsia"/>
          <w:color w:val="auto"/>
          <w:sz w:val="24"/>
          <w:szCs w:val="24"/>
        </w:rPr>
        <w:t>技术规范书</w:t>
      </w:r>
      <w:r>
        <w:rPr>
          <w:color w:val="auto"/>
          <w:sz w:val="24"/>
          <w:szCs w:val="24"/>
        </w:rPr>
        <w:t>提出补充要求和修改的权力，</w:t>
      </w:r>
      <w:r>
        <w:rPr>
          <w:rFonts w:hint="eastAsia"/>
          <w:color w:val="auto"/>
          <w:sz w:val="24"/>
          <w:szCs w:val="24"/>
        </w:rPr>
        <w:t>投标方</w:t>
      </w:r>
      <w:r>
        <w:rPr>
          <w:color w:val="auto"/>
          <w:sz w:val="24"/>
          <w:szCs w:val="24"/>
        </w:rPr>
        <w:t>承诺予以配合</w:t>
      </w:r>
      <w:r>
        <w:rPr>
          <w:rFonts w:hint="eastAsia"/>
          <w:color w:val="auto"/>
          <w:sz w:val="24"/>
          <w:szCs w:val="24"/>
        </w:rPr>
        <w:t>，</w:t>
      </w:r>
      <w:r>
        <w:rPr>
          <w:color w:val="auto"/>
          <w:sz w:val="24"/>
          <w:szCs w:val="24"/>
        </w:rPr>
        <w:t>如提出修改，具体项目和条件由双方</w:t>
      </w:r>
      <w:r>
        <w:rPr>
          <w:rFonts w:hint="eastAsia"/>
          <w:color w:val="auto"/>
          <w:sz w:val="24"/>
          <w:szCs w:val="24"/>
        </w:rPr>
        <w:t>共同</w:t>
      </w:r>
      <w:r>
        <w:rPr>
          <w:color w:val="auto"/>
          <w:sz w:val="24"/>
          <w:szCs w:val="24"/>
        </w:rPr>
        <w:t xml:space="preserve">商定。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本</w:t>
      </w:r>
      <w:r>
        <w:rPr>
          <w:rFonts w:hint="eastAsia"/>
          <w:color w:val="auto"/>
          <w:sz w:val="24"/>
          <w:szCs w:val="24"/>
        </w:rPr>
        <w:t>技术规范书</w:t>
      </w:r>
      <w:r>
        <w:rPr>
          <w:color w:val="auto"/>
          <w:sz w:val="24"/>
          <w:szCs w:val="24"/>
        </w:rPr>
        <w:t>所使用的标准如与</w:t>
      </w:r>
      <w:r>
        <w:rPr>
          <w:rFonts w:hint="eastAsia"/>
          <w:color w:val="auto"/>
          <w:sz w:val="24"/>
          <w:szCs w:val="24"/>
        </w:rPr>
        <w:t>投标方</w:t>
      </w:r>
      <w:r>
        <w:rPr>
          <w:color w:val="auto"/>
          <w:sz w:val="24"/>
          <w:szCs w:val="24"/>
        </w:rPr>
        <w:t>所执行的标准水平不一致时，按较高标准执行。对国家有关安全、环保等强制性标准，</w:t>
      </w:r>
      <w:r>
        <w:rPr>
          <w:rFonts w:hint="eastAsia"/>
          <w:color w:val="auto"/>
          <w:sz w:val="24"/>
          <w:szCs w:val="24"/>
        </w:rPr>
        <w:t>均</w:t>
      </w:r>
      <w:r>
        <w:rPr>
          <w:color w:val="auto"/>
          <w:sz w:val="24"/>
          <w:szCs w:val="24"/>
        </w:rPr>
        <w:t>满足其要求。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本</w:t>
      </w:r>
      <w:r>
        <w:rPr>
          <w:rFonts w:hint="eastAsia"/>
          <w:color w:val="auto"/>
          <w:sz w:val="24"/>
          <w:szCs w:val="24"/>
        </w:rPr>
        <w:t>技术规范书</w:t>
      </w:r>
      <w:r>
        <w:rPr>
          <w:color w:val="auto"/>
          <w:sz w:val="24"/>
          <w:szCs w:val="24"/>
        </w:rPr>
        <w:t>是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冷渣机进渣管波纹补偿器</w:t>
      </w:r>
      <w:r>
        <w:rPr>
          <w:color w:val="auto"/>
          <w:sz w:val="24"/>
          <w:szCs w:val="24"/>
        </w:rPr>
        <w:t>产品订货合同的附件，与合同具有同等法律效力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pacing w:line="400" w:lineRule="exact"/>
        <w:rPr>
          <w:rFonts w:hint="default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技术参数及要求</w:t>
      </w: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bookmarkStart w:id="0" w:name="_Toc203484520"/>
      <w:bookmarkStart w:id="1" w:name="_Toc203487022"/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（一）进渣管波纹补偿器技术参数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（二）规格型号：BCQ-250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（三）公称直径：DN250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四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流通介质</w:t>
      </w:r>
      <w:r>
        <w:rPr>
          <w:rFonts w:hint="eastAsia"/>
          <w:color w:val="auto"/>
          <w:sz w:val="24"/>
          <w:szCs w:val="24"/>
        </w:rPr>
        <w:t>：</w:t>
      </w:r>
      <w:r>
        <w:rPr>
          <w:color w:val="auto"/>
          <w:sz w:val="24"/>
          <w:szCs w:val="24"/>
        </w:rPr>
        <w:t>高温炉渣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要求补偿器</w:t>
      </w:r>
      <w:r>
        <w:rPr>
          <w:rFonts w:hint="eastAsia" w:ascii="Times New Roman"/>
        </w:rPr>
        <w:t>密封良好，不喷渣、漏渣，不喷火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五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排渣最高温度</w:t>
      </w:r>
      <w:r>
        <w:rPr>
          <w:rFonts w:hint="eastAsia"/>
          <w:color w:val="auto"/>
          <w:sz w:val="24"/>
          <w:szCs w:val="24"/>
        </w:rPr>
        <w:t>：1</w:t>
      </w:r>
      <w:r>
        <w:rPr>
          <w:color w:val="auto"/>
          <w:sz w:val="24"/>
          <w:szCs w:val="24"/>
        </w:rPr>
        <w:t>000℃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六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排渣粒度</w:t>
      </w:r>
      <w:r>
        <w:rPr>
          <w:rFonts w:hint="eastAsia"/>
          <w:color w:val="auto"/>
          <w:sz w:val="24"/>
          <w:szCs w:val="24"/>
        </w:rPr>
        <w:t>：</w:t>
      </w:r>
      <w:r>
        <w:rPr>
          <w:color w:val="auto"/>
          <w:sz w:val="24"/>
          <w:szCs w:val="24"/>
        </w:rPr>
        <w:t>≤100mm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七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介质压力</w:t>
      </w:r>
      <w:r>
        <w:rPr>
          <w:rFonts w:hint="eastAsia"/>
          <w:color w:val="auto"/>
          <w:sz w:val="24"/>
          <w:szCs w:val="24"/>
        </w:rPr>
        <w:t>：1</w:t>
      </w:r>
      <w:r>
        <w:rPr>
          <w:color w:val="auto"/>
          <w:sz w:val="24"/>
          <w:szCs w:val="24"/>
        </w:rPr>
        <w:t>0kPa</w:t>
      </w:r>
    </w:p>
    <w:p>
      <w:pPr>
        <w:spacing w:line="360" w:lineRule="auto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八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不锈钢补偿量要求：</w:t>
      </w:r>
      <w:r>
        <w:rPr>
          <w:rFonts w:hint="eastAsia"/>
          <w:color w:val="auto"/>
          <w:sz w:val="24"/>
          <w:szCs w:val="24"/>
          <w:lang w:val="en-US" w:eastAsia="zh-CN"/>
        </w:rPr>
        <w:t>轴向压缩大于420mm,径向位移+-110mm,角向+-3°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九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不锈钢波纹采用复式 7波+7波结构，波纹管壁厚为双层(单层不低</w:t>
      </w:r>
      <w:r>
        <w:rPr>
          <w:rFonts w:hint="eastAsia"/>
          <w:color w:val="auto"/>
          <w:sz w:val="24"/>
          <w:szCs w:val="24"/>
          <w:lang w:val="en-US" w:eastAsia="zh-CN"/>
        </w:rPr>
        <w:t>于2</w:t>
      </w:r>
      <w:r>
        <w:rPr>
          <w:color w:val="auto"/>
          <w:sz w:val="24"/>
          <w:szCs w:val="24"/>
        </w:rPr>
        <w:t>mm)， 材质为 SUS310S (2520)，耐高温不锈钢；波纹疲劳次数≥10000次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 w:ascii="Times New Roman"/>
        </w:rPr>
        <w:t>使用寿命≥2</w:t>
      </w:r>
      <w:r>
        <w:rPr>
          <w:rFonts w:ascii="Times New Roman"/>
        </w:rPr>
        <w:t>5000h</w:t>
      </w:r>
      <w:r>
        <w:rPr>
          <w:color w:val="auto"/>
          <w:sz w:val="24"/>
          <w:szCs w:val="24"/>
        </w:rPr>
        <w:t>对锅炉排渣口的反作用力不大于10KN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十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波纹管接管为不低于 SUS321(1Cr18Ni9Ti)以上材料，推荐采用 SUS309S 或 SUS310S 耐高温不锈钢材料，</w:t>
      </w:r>
      <w:r>
        <w:rPr>
          <w:rFonts w:hint="eastAsia"/>
          <w:color w:val="auto"/>
          <w:sz w:val="24"/>
          <w:szCs w:val="24"/>
          <w:lang w:val="en-US" w:eastAsia="zh-CN"/>
        </w:rPr>
        <w:t>复式中间波管接管长度大于200mm。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十一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波纹管上、下端环板为整体铸造 ( Cr25Ni20 ，类同于 SUS310S)，壁厚不低于 16mm,  同时要求进口短节、法兰、环板整体铸造，同时增加足够的环状筋板，均为整体铸造， 不可以采用板焊件焊接工艺，否则拒收。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十二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高温金属</w:t>
      </w:r>
      <w:r>
        <w:rPr>
          <w:rFonts w:hint="eastAsia"/>
          <w:color w:val="auto"/>
          <w:sz w:val="24"/>
          <w:szCs w:val="24"/>
          <w:lang w:val="en-US" w:eastAsia="zh-CN"/>
        </w:rPr>
        <w:t>补偿器</w:t>
      </w:r>
      <w:r>
        <w:rPr>
          <w:color w:val="auto"/>
          <w:sz w:val="24"/>
          <w:szCs w:val="24"/>
        </w:rPr>
        <w:t>内部具有三级耐温措施，金属波纹外壁测温不可超过 150℃，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十三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膨胀节内部落料斗采用 310S 整体铸造，不可不锈钢板钣金焊接，锥仓壁厚不可低于 16mm 厚度，同时锥仓顶部采用热风密封机构并带有密封挡板，结构要求方便拆卸具 有可更换性。</w:t>
      </w:r>
      <w:r>
        <w:rPr>
          <w:rFonts w:hint="eastAsia"/>
          <w:color w:val="auto"/>
          <w:sz w:val="24"/>
          <w:szCs w:val="24"/>
          <w:lang w:val="en-US" w:eastAsia="zh-CN"/>
        </w:rPr>
        <w:t>：耐温达 1000℃以上的陶瓷复合层/浇注料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十四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  <w:lang w:val="en-US" w:eastAsia="zh-CN"/>
        </w:rPr>
        <w:t>部件尺寸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1、上部环形板外径700mm,内孔276mm;下部环形板外径700mm,内孔302mm,</w:t>
      </w:r>
      <w:r>
        <w:rPr>
          <w:rFonts w:hint="eastAsia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2、补偿器上部环形板到变径管上端为1270mm</w:t>
      </w:r>
    </w:p>
    <w:bookmarkEnd w:id="0"/>
    <w:bookmarkEnd w:id="1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pacing w:line="400" w:lineRule="exact"/>
        <w:rPr>
          <w:rFonts w:hint="default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供货范围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80" w:firstLineChars="200"/>
        <w:textAlignment w:val="baseline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从波纹补偿器的上端环形板到下端变径管底部，以及6块肋板，均为供货范畴（图示的补偿器内部273mm,材质310S下渣管不在供货范围）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pacing w:line="400" w:lineRule="exact"/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技术服务及质量保证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80" w:firstLineChars="200"/>
        <w:textAlignment w:val="baseline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设计制造/供应商有义务对补偿器的尺寸进行复核，确保所提供的补偿器满足现场安装尺寸。</w:t>
      </w:r>
    </w:p>
    <w:p>
      <w:pPr>
        <w:tabs>
          <w:tab w:val="left" w:pos="1141"/>
        </w:tabs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自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安装</w:t>
      </w:r>
      <w:r>
        <w:rPr>
          <w:rFonts w:hint="eastAsia" w:ascii="宋体" w:hAnsi="宋体" w:eastAsia="宋体" w:cs="Times New Roman"/>
          <w:sz w:val="24"/>
          <w:szCs w:val="24"/>
        </w:rPr>
        <w:t>之日起，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一年内</w:t>
      </w:r>
      <w:r>
        <w:rPr>
          <w:rFonts w:hint="eastAsia" w:ascii="宋体" w:hAnsi="宋体" w:eastAsia="宋体" w:cs="Times New Roman"/>
          <w:sz w:val="24"/>
          <w:szCs w:val="24"/>
        </w:rPr>
        <w:t>在运行中出现质量问题，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漏灰、冒火等</w:t>
      </w:r>
      <w:r>
        <w:rPr>
          <w:rFonts w:hint="eastAsia" w:ascii="宋体" w:hAnsi="宋体" w:eastAsia="宋体" w:cs="宋体"/>
          <w:sz w:val="24"/>
          <w:szCs w:val="24"/>
        </w:rPr>
        <w:t>，乙方要进行免费维修或更换。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非乙方供货范围</w:t>
      </w:r>
      <w:bookmarkStart w:id="4" w:name="_GoBack"/>
      <w:bookmarkEnd w:id="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的下渣管与补偿器连接焊缝除外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ageBreakBefore w:val="0"/>
        <w:kinsoku/>
        <w:wordWrap/>
        <w:overflowPunct/>
        <w:topLinePunct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lang w:val="en-US" w:eastAsia="zh-CN"/>
        </w:rPr>
        <w:t>六、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lang w:eastAsia="zh-CN"/>
        </w:rPr>
        <w:t>检查与验收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验收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补偿器各个部件材质、外观、尺寸;是否与技术规范书对应，验收供货是否完整。制造、监造是否与规范书对应。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0"/>
          <w:lang w:val="en-US" w:eastAsia="zh-CN" w:bidi="ar-SA"/>
        </w:rPr>
        <w:t>七、其他</w:t>
      </w:r>
    </w:p>
    <w:p>
      <w:pPr>
        <w:spacing w:line="360" w:lineRule="auto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bookmarkStart w:id="2" w:name="_Toc401234898"/>
      <w:bookmarkStart w:id="3" w:name="_Toc400806879"/>
      <w:r>
        <w:rPr>
          <w:rFonts w:hint="eastAsia" w:ascii="宋体" w:hAnsi="宋体"/>
          <w:sz w:val="24"/>
        </w:rPr>
        <w:t>未尽事宜，双方友好协商解决。</w:t>
      </w:r>
      <w:bookmarkEnd w:id="2"/>
      <w:bookmarkEnd w:id="3"/>
    </w:p>
    <w:p>
      <w:pPr>
        <w:pStyle w:val="2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0"/>
          <w:lang w:val="en-US" w:eastAsia="zh-CN" w:bidi="ar-SA"/>
        </w:rPr>
        <w:t>八、附图</w:t>
      </w:r>
    </w:p>
    <w:p>
      <w:pPr>
        <w:spacing w:line="360" w:lineRule="auto"/>
        <w:ind w:firstLine="480" w:firstLineChars="200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本技术规范书所提供图片、图纸，为设计制造厂家所必须参照和遵循的技术要求范畴。</w:t>
      </w:r>
    </w:p>
    <w:p>
      <w:pPr>
        <w:spacing w:line="48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drawing>
          <wp:inline distT="0" distB="0" distL="114300" distR="114300">
            <wp:extent cx="1968500" cy="1452245"/>
            <wp:effectExtent l="0" t="0" r="4445" b="635"/>
            <wp:docPr id="2" name="图片 2" descr="168953516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535165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drawing>
          <wp:inline distT="0" distB="0" distL="114300" distR="114300">
            <wp:extent cx="2387600" cy="1544955"/>
            <wp:effectExtent l="0" t="0" r="6350" b="6985"/>
            <wp:docPr id="3" name="图片 3" descr="168953509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95350926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   环形板     </w:t>
      </w:r>
      <w:r>
        <w:rPr>
          <w:rFonts w:hint="default" w:ascii="宋体" w:hAnsi="宋体" w:cs="Times New Roman"/>
          <w:sz w:val="28"/>
          <w:szCs w:val="28"/>
          <w:lang w:eastAsia="zh-CN"/>
        </w:rPr>
        <w:t xml:space="preserve">              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肋板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69215</wp:posOffset>
                </wp:positionV>
                <wp:extent cx="1497965" cy="2110105"/>
                <wp:effectExtent l="6350" t="6350" r="6350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8690" y="983615"/>
                          <a:ext cx="1497965" cy="21101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7pt;margin-top:5.45pt;height:166.15pt;width:117.95pt;z-index:251659264;v-text-anchor:middle;mso-width-relative:page;mso-height-relative:page;" filled="f" stroked="t" coordsize="21600,21600" o:gfxdata="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p0cyNsAAAAKAQAA&#10;DwAAAAAAAAABACAAAAAiAAAAZHJzL2Rvd25yZXYueG1sUEsBAhQAFAAAAAgAh07iQG7QPpWIAgAA&#10;+QQAAA4AAAAAAAAAAQAgAAAAKgEAAGRycy9lMm9Eb2MueG1sUEsFBgAAAAAGAAYAWQEAACQGAAAA&#10;AA==&#10;">
                <v:fill on="f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4724400" cy="4081145"/>
            <wp:effectExtent l="0" t="0" r="5715" b="5080"/>
            <wp:docPr id="5" name="图片 5" descr="276ed9fc96cca1309adf10b9a4597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76ed9fc96cca1309adf10b9a4597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default"/>
          <w:color w:val="auto"/>
          <w:sz w:val="24"/>
          <w:szCs w:val="24"/>
          <w:lang w:eastAsia="zh-CN"/>
        </w:rPr>
      </w:pPr>
      <w:r>
        <w:rPr>
          <w:rFonts w:hint="default"/>
          <w:color w:val="auto"/>
          <w:sz w:val="24"/>
          <w:szCs w:val="24"/>
          <w:lang w:eastAsia="zh-CN"/>
        </w:rPr>
        <w:drawing>
          <wp:inline distT="0" distB="0" distL="114300" distR="114300">
            <wp:extent cx="1889760" cy="2765425"/>
            <wp:effectExtent l="9525" t="9525" r="15875" b="15240"/>
            <wp:docPr id="4" name="图片 4" descr="8635457fa09391ef3c04060a4b0a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35457fa09391ef3c04060a4b0ab4a"/>
                    <pic:cNvPicPr>
                      <a:picLocks noChangeAspect="1"/>
                    </pic:cNvPicPr>
                  </pic:nvPicPr>
                  <pic:blipFill>
                    <a:blip r:embed="rId7"/>
                    <a:srcRect l="43151" t="23378" b="21497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76542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/>
          <w:color w:val="auto"/>
          <w:sz w:val="24"/>
          <w:szCs w:val="24"/>
          <w:lang w:eastAsia="zh-CN"/>
        </w:rPr>
        <w:drawing>
          <wp:inline distT="0" distB="0" distL="114300" distR="114300">
            <wp:extent cx="1843405" cy="2766060"/>
            <wp:effectExtent l="9525" t="9525" r="12700" b="14605"/>
            <wp:docPr id="1" name="图片 1" descr="b9cae953c38fd2bc6092a885d162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cae953c38fd2bc6092a885d1627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276606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补偿器外观图片             补偿器内部图片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96FBF"/>
    <w:multiLevelType w:val="singleLevel"/>
    <w:tmpl w:val="81C96F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DE5OGYyZTVhYmVjMTQ4OTUwOTUzZTlhNDczZjcifQ=="/>
  </w:docVars>
  <w:rsids>
    <w:rsidRoot w:val="00000000"/>
    <w:rsid w:val="381428A9"/>
    <w:rsid w:val="5E6301AB"/>
    <w:rsid w:val="67101B7A"/>
    <w:rsid w:val="77944C67"/>
    <w:rsid w:val="7D6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引言二级条标题"/>
    <w:basedOn w:val="8"/>
    <w:next w:val="9"/>
    <w:qFormat/>
    <w:uiPriority w:val="99"/>
    <w:pPr>
      <w:tabs>
        <w:tab w:val="left" w:pos="1140"/>
      </w:tabs>
    </w:pPr>
  </w:style>
  <w:style w:type="paragraph" w:customStyle="1" w:styleId="8">
    <w:name w:val="引言一级条标题"/>
    <w:basedOn w:val="1"/>
    <w:next w:val="9"/>
    <w:qFormat/>
    <w:uiPriority w:val="99"/>
    <w:pPr>
      <w:widowControl/>
      <w:tabs>
        <w:tab w:val="left" w:pos="1140"/>
      </w:tabs>
    </w:pPr>
    <w:rPr>
      <w:rFonts w:eastAsia="黑体"/>
      <w:b/>
      <w:bCs/>
      <w:szCs w:val="21"/>
    </w:rPr>
  </w:style>
  <w:style w:type="paragraph" w:customStyle="1" w:styleId="9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spacing w:val="4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2023-07-16T17:18:00Z</dcterms:created>
  <dc:creator>张振辉</dc:creator>
  <cp:lastModifiedBy>张振辉</cp:lastModifiedBy>
  <dcterms:modified xsi:type="dcterms:W3CDTF">2023-07-17T02:45:25Z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B1C93BF36FD24F29BD6C5F60E3811622_13</vt:lpwstr>
  </property>
</Properties>
</file>