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版本：A</w:t>
      </w:r>
    </w:p>
    <w:p>
      <w:pPr>
        <w:rPr>
          <w:rFonts w:hint="eastAsia"/>
        </w:rPr>
      </w:pPr>
    </w:p>
    <w:p>
      <w:pPr>
        <w:pStyle w:val="2"/>
        <w:keepNext/>
        <w:keepLines/>
        <w:pageBreakBefore w:val="0"/>
        <w:widowControl w:val="0"/>
        <w:kinsoku/>
        <w:wordWrap w:val="0"/>
        <w:overflowPunct/>
        <w:topLinePunct w:val="0"/>
        <w:autoSpaceDE/>
        <w:autoSpaceDN/>
        <w:bidi w:val="0"/>
        <w:adjustRightInd/>
        <w:snapToGrid/>
        <w:spacing w:after="60"/>
        <w:jc w:val="right"/>
        <w:textAlignment w:val="auto"/>
        <w:rPr>
          <w:rFonts w:hint="eastAsia"/>
        </w:rPr>
      </w:pPr>
      <w:r>
        <w:rPr>
          <w:rFonts w:hint="default" w:ascii="Times New Roman" w:hAnsi="Times New Roman" w:cs="Times New Roman"/>
          <w:sz w:val="96"/>
          <w:szCs w:val="96"/>
        </w:rPr>
        <w:t>Q/BK</w:t>
      </w:r>
      <w:r>
        <w:rPr>
          <w:rFonts w:hint="eastAsia" w:ascii="Times New Roman" w:hAnsi="Times New Roman" w:cs="Times New Roman"/>
          <w:sz w:val="96"/>
          <w:szCs w:val="96"/>
          <w:lang w:val="en-US" w:eastAsia="zh-CN"/>
        </w:rPr>
        <w:t xml:space="preserve"> </w:t>
      </w:r>
    </w:p>
    <w:p>
      <w:pPr>
        <w:jc w:val="both"/>
        <w:rPr>
          <w:rFonts w:hint="eastAsia" w:ascii="黑体" w:hAnsi="黑体" w:eastAsia="黑体" w:cs="黑体"/>
          <w:b/>
          <w:bCs/>
          <w:spacing w:val="28"/>
          <w:sz w:val="52"/>
          <w:szCs w:val="52"/>
        </w:rPr>
      </w:pPr>
      <w:r>
        <w:rPr>
          <w:rFonts w:hint="eastAsia" w:ascii="黑体" w:hAnsi="黑体" w:eastAsia="黑体" w:cs="黑体"/>
          <w:b/>
          <w:bCs/>
          <w:spacing w:val="28"/>
          <w:sz w:val="52"/>
          <w:szCs w:val="52"/>
        </w:rPr>
        <w:t>广西百矿新材料技术有限公司</w:t>
      </w:r>
      <w:r>
        <w:rPr>
          <w:rFonts w:hint="eastAsia" w:ascii="黑体" w:hAnsi="黑体" w:eastAsia="黑体" w:cs="黑体"/>
          <w:b/>
          <w:bCs/>
          <w:spacing w:val="28"/>
          <w:sz w:val="52"/>
          <w:szCs w:val="52"/>
          <w:lang w:val="en-US" w:eastAsia="zh-CN"/>
        </w:rPr>
        <w:t>技术</w:t>
      </w:r>
      <w:r>
        <w:rPr>
          <w:rFonts w:hint="eastAsia" w:ascii="黑体" w:hAnsi="黑体" w:eastAsia="黑体" w:cs="黑体"/>
          <w:b/>
          <w:bCs/>
          <w:spacing w:val="28"/>
          <w:sz w:val="52"/>
          <w:szCs w:val="52"/>
        </w:rPr>
        <w:t>标准</w:t>
      </w:r>
    </w:p>
    <w:p>
      <w:pPr>
        <w:jc w:val="right"/>
        <w:rPr>
          <w:rFonts w:hint="eastAsia" w:ascii="黑体" w:hAnsi="黑体" w:eastAsia="黑体" w:cs="黑体"/>
          <w:sz w:val="28"/>
          <w:szCs w:val="28"/>
          <w:lang w:eastAsia="zh-CN"/>
        </w:rPr>
      </w:pPr>
      <w:r>
        <w:rPr>
          <w:rFonts w:hint="eastAsia" w:ascii="黑体" w:hAnsi="黑体" w:eastAsia="黑体" w:cs="黑体"/>
          <w:sz w:val="28"/>
          <w:szCs w:val="28"/>
        </w:rPr>
        <w:t>Q/BK BC0000</w:t>
      </w:r>
      <w:r>
        <w:rPr>
          <w:rFonts w:hint="eastAsia" w:ascii="黑体" w:hAnsi="黑体" w:eastAsia="黑体" w:cs="黑体"/>
          <w:sz w:val="28"/>
          <w:szCs w:val="28"/>
          <w:lang w:val="en-US" w:eastAsia="zh-CN"/>
        </w:rPr>
        <w:t>6</w:t>
      </w:r>
      <w:r>
        <w:rPr>
          <w:rFonts w:hint="eastAsia" w:ascii="黑体" w:hAnsi="黑体" w:eastAsia="黑体" w:cs="黑体"/>
          <w:sz w:val="28"/>
          <w:szCs w:val="28"/>
        </w:rPr>
        <w:t>—202</w:t>
      </w:r>
      <w:r>
        <w:rPr>
          <w:rFonts w:hint="eastAsia" w:ascii="黑体" w:hAnsi="黑体" w:eastAsia="黑体" w:cs="黑体"/>
          <w:sz w:val="28"/>
          <w:szCs w:val="28"/>
          <w:lang w:val="en-US" w:eastAsia="zh-CN"/>
        </w:rPr>
        <w:t>3</w:t>
      </w:r>
      <w:bookmarkStart w:id="0" w:name="_GoBack"/>
      <w:bookmarkEnd w:id="0"/>
    </w:p>
    <w:p>
      <w:pPr>
        <w:bidi w:val="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p>
    <w:p>
      <w:pPr>
        <w:bidi w:val="0"/>
        <w:rPr>
          <w:rFonts w:hint="default"/>
          <w:u w:val="single"/>
          <w:lang w:val="en-US" w:eastAsia="zh-CN"/>
        </w:rPr>
      </w:pPr>
      <w:r>
        <w:rPr>
          <w:rFonts w:hint="eastAsia"/>
          <w:u w:val="single"/>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kinsoku w:val="0"/>
        <w:overflowPunct w:val="0"/>
        <w:spacing w:beforeLines="0" w:afterLines="0"/>
        <w:ind w:right="115"/>
        <w:jc w:val="center"/>
        <w:rPr>
          <w:rFonts w:hint="eastAsia" w:ascii="黑体" w:hAnsi="黑体" w:eastAsia="黑体"/>
          <w:sz w:val="52"/>
          <w:szCs w:val="24"/>
        </w:rPr>
      </w:pPr>
      <w:r>
        <w:rPr>
          <w:rFonts w:hint="eastAsia" w:ascii="黑体" w:hAnsi="黑体" w:eastAsia="黑体"/>
          <w:sz w:val="52"/>
          <w:szCs w:val="24"/>
        </w:rPr>
        <w:t>聚酯打包带</w:t>
      </w:r>
    </w:p>
    <w:p>
      <w:pPr>
        <w:pStyle w:val="6"/>
        <w:kinsoku w:val="0"/>
        <w:overflowPunct w:val="0"/>
        <w:spacing w:before="403" w:beforeLines="0" w:afterLines="0"/>
        <w:ind w:right="114"/>
        <w:jc w:val="center"/>
        <w:rPr>
          <w:rFonts w:hint="default" w:ascii="Times New Roman" w:hAnsi="Times New Roman" w:eastAsia="Times New Roman"/>
          <w:sz w:val="28"/>
          <w:szCs w:val="24"/>
        </w:rPr>
      </w:pPr>
      <w:r>
        <w:rPr>
          <w:rFonts w:hint="default" w:ascii="Times New Roman" w:hAnsi="Times New Roman" w:eastAsia="Times New Roman"/>
          <w:sz w:val="28"/>
          <w:szCs w:val="24"/>
        </w:rPr>
        <w:t xml:space="preserve">PET </w:t>
      </w:r>
      <w:r>
        <w:rPr>
          <w:rFonts w:hint="eastAsia" w:ascii="Times New Roman" w:hAnsi="Times New Roman" w:eastAsia="宋体"/>
          <w:sz w:val="28"/>
          <w:szCs w:val="24"/>
          <w:lang w:val="en-US" w:eastAsia="zh-CN"/>
        </w:rPr>
        <w:t>s</w:t>
      </w:r>
      <w:r>
        <w:rPr>
          <w:rFonts w:hint="default" w:ascii="Times New Roman" w:hAnsi="Times New Roman" w:eastAsia="Times New Roman"/>
          <w:sz w:val="28"/>
          <w:szCs w:val="24"/>
        </w:rPr>
        <w:t>t</w:t>
      </w:r>
      <w:r>
        <w:rPr>
          <w:rFonts w:hint="eastAsia" w:ascii="Times New Roman" w:hAnsi="Times New Roman" w:eastAsia="宋体"/>
          <w:sz w:val="28"/>
          <w:szCs w:val="24"/>
          <w:lang w:val="en-US" w:eastAsia="zh-CN"/>
        </w:rPr>
        <w:t>r</w:t>
      </w:r>
      <w:r>
        <w:rPr>
          <w:rFonts w:hint="default" w:ascii="Times New Roman" w:hAnsi="Times New Roman" w:eastAsia="Times New Roman"/>
          <w:sz w:val="28"/>
          <w:szCs w:val="24"/>
        </w:rPr>
        <w:t>apping</w:t>
      </w:r>
    </w:p>
    <w:p>
      <w:pPr>
        <w:tabs>
          <w:tab w:val="left" w:pos="763"/>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33"/>
        </w:tabs>
        <w:bidi w:val="0"/>
        <w:ind w:firstLine="280" w:firstLineChars="100"/>
        <w:jc w:val="left"/>
        <w:rPr>
          <w:rFonts w:hint="eastAsia" w:ascii="黑体" w:hAnsi="黑体" w:eastAsia="黑体" w:cs="黑体"/>
          <w:sz w:val="28"/>
          <w:szCs w:val="28"/>
          <w:u w:val="single"/>
          <w:lang w:val="en-US" w:eastAsia="zh-CN"/>
        </w:rPr>
      </w:pPr>
      <w:r>
        <w:rPr>
          <w:rFonts w:hint="eastAsia" w:ascii="黑体" w:hAnsi="黑体" w:eastAsia="黑体" w:cs="黑体"/>
          <w:sz w:val="28"/>
          <w:szCs w:val="28"/>
          <w:u w:val="single"/>
          <w:lang w:val="en-US" w:eastAsia="zh-CN"/>
        </w:rPr>
        <w:t>2023年03月01日发布</w:t>
      </w:r>
      <w:r>
        <w:rPr>
          <w:rFonts w:hint="eastAsia"/>
          <w:u w:val="single"/>
          <w:lang w:val="en-US" w:eastAsia="zh-CN"/>
        </w:rPr>
        <w:t xml:space="preserve">                                      </w:t>
      </w:r>
      <w:r>
        <w:rPr>
          <w:rFonts w:hint="eastAsia" w:ascii="黑体" w:hAnsi="黑体" w:eastAsia="黑体" w:cs="黑体"/>
          <w:sz w:val="28"/>
          <w:szCs w:val="28"/>
          <w:u w:val="single"/>
          <w:lang w:val="en-US" w:eastAsia="zh-CN"/>
        </w:rPr>
        <w:t>2023年03月31日实施</w:t>
      </w:r>
    </w:p>
    <w:p>
      <w:pPr>
        <w:bidi w:val="0"/>
        <w:rPr>
          <w:rFonts w:hint="default" w:asciiTheme="minorHAnsi" w:hAnsiTheme="minorHAnsi" w:eastAsiaTheme="minorEastAsia" w:cstheme="minorBidi"/>
          <w:kern w:val="2"/>
          <w:sz w:val="21"/>
          <w:szCs w:val="24"/>
          <w:lang w:val="en-US" w:eastAsia="zh-CN" w:bidi="ar-SA"/>
        </w:rPr>
      </w:pPr>
    </w:p>
    <w:p>
      <w:pPr>
        <w:pStyle w:val="6"/>
        <w:tabs>
          <w:tab w:val="left" w:pos="4788"/>
        </w:tabs>
        <w:kinsoku w:val="0"/>
        <w:overflowPunct w:val="0"/>
        <w:spacing w:beforeLines="0" w:afterLines="0"/>
        <w:ind w:right="360"/>
        <w:jc w:val="center"/>
        <w:rPr>
          <w:rFonts w:hint="eastAsia" w:ascii="黑体" w:hAnsi="黑体" w:eastAsia="黑体"/>
          <w:w w:val="120"/>
          <w:position w:val="3"/>
          <w:sz w:val="28"/>
          <w:szCs w:val="24"/>
        </w:rPr>
      </w:pPr>
      <w:r>
        <w:rPr>
          <w:rFonts w:hint="eastAsia" w:ascii="黑体" w:hAnsi="黑体" w:eastAsia="黑体"/>
          <w:spacing w:val="41"/>
          <w:w w:val="130"/>
          <w:sz w:val="28"/>
          <w:szCs w:val="24"/>
        </w:rPr>
        <w:t>广西百矿新材料技术有限公司</w:t>
      </w:r>
      <w:r>
        <w:rPr>
          <w:rFonts w:hint="eastAsia" w:ascii="黑体" w:hAnsi="黑体" w:eastAsia="黑体"/>
          <w:w w:val="130"/>
          <w:sz w:val="28"/>
          <w:szCs w:val="24"/>
        </w:rPr>
        <w:tab/>
      </w:r>
      <w:r>
        <w:rPr>
          <w:rFonts w:hint="eastAsia" w:ascii="黑体" w:hAnsi="黑体" w:eastAsia="黑体"/>
          <w:w w:val="120"/>
          <w:position w:val="3"/>
          <w:sz w:val="28"/>
          <w:szCs w:val="24"/>
        </w:rPr>
        <w:t>发</w:t>
      </w:r>
      <w:r>
        <w:rPr>
          <w:rFonts w:hint="eastAsia" w:ascii="黑体" w:hAnsi="黑体" w:eastAsia="黑体"/>
          <w:spacing w:val="-7"/>
          <w:w w:val="120"/>
          <w:position w:val="3"/>
          <w:sz w:val="28"/>
          <w:szCs w:val="24"/>
        </w:rPr>
        <w:t xml:space="preserve"> </w:t>
      </w:r>
      <w:r>
        <w:rPr>
          <w:rFonts w:hint="eastAsia" w:ascii="黑体" w:hAnsi="黑体" w:eastAsia="黑体"/>
          <w:w w:val="120"/>
          <w:position w:val="3"/>
          <w:sz w:val="28"/>
          <w:szCs w:val="24"/>
        </w:rPr>
        <w:t>布</w:t>
      </w:r>
    </w:p>
    <w:p>
      <w:pPr>
        <w:pStyle w:val="6"/>
        <w:tabs>
          <w:tab w:val="left" w:pos="4788"/>
        </w:tabs>
        <w:kinsoku w:val="0"/>
        <w:overflowPunct w:val="0"/>
        <w:spacing w:beforeLines="0" w:afterLines="0"/>
        <w:ind w:right="360"/>
        <w:jc w:val="center"/>
        <w:rPr>
          <w:rFonts w:hint="eastAsia" w:ascii="黑体" w:hAnsi="黑体" w:eastAsia="黑体"/>
          <w:w w:val="120"/>
          <w:position w:val="3"/>
          <w:sz w:val="28"/>
          <w:szCs w:val="24"/>
        </w:rPr>
      </w:pPr>
    </w:p>
    <w:p>
      <w:pPr>
        <w:pStyle w:val="6"/>
        <w:tabs>
          <w:tab w:val="left" w:pos="960"/>
        </w:tabs>
        <w:kinsoku w:val="0"/>
        <w:overflowPunct w:val="0"/>
        <w:spacing w:before="212" w:beforeLines="0" w:afterLines="0"/>
        <w:ind w:right="232"/>
        <w:jc w:val="center"/>
        <w:rPr>
          <w:rFonts w:hint="eastAsia" w:ascii="黑体" w:hAnsi="黑体" w:eastAsia="黑体"/>
          <w:sz w:val="32"/>
          <w:szCs w:val="24"/>
        </w:rPr>
      </w:pPr>
    </w:p>
    <w:p>
      <w:pPr>
        <w:pStyle w:val="6"/>
        <w:tabs>
          <w:tab w:val="left" w:pos="960"/>
        </w:tabs>
        <w:kinsoku w:val="0"/>
        <w:overflowPunct w:val="0"/>
        <w:spacing w:before="212" w:beforeLines="0" w:afterLines="0"/>
        <w:ind w:right="232"/>
        <w:jc w:val="center"/>
        <w:rPr>
          <w:rFonts w:hint="eastAsia" w:ascii="黑体" w:hAnsi="黑体" w:eastAsia="黑体"/>
          <w:sz w:val="32"/>
          <w:szCs w:val="24"/>
        </w:rPr>
      </w:pPr>
      <w:r>
        <w:rPr>
          <w:rFonts w:hint="eastAsia" w:ascii="黑体" w:hAnsi="黑体" w:eastAsia="黑体"/>
          <w:sz w:val="32"/>
          <w:szCs w:val="24"/>
        </w:rPr>
        <w:t>前</w:t>
      </w:r>
      <w:r>
        <w:rPr>
          <w:rFonts w:hint="eastAsia" w:ascii="黑体" w:hAnsi="黑体" w:eastAsia="黑体"/>
          <w:sz w:val="32"/>
          <w:szCs w:val="24"/>
        </w:rPr>
        <w:tab/>
      </w:r>
      <w:r>
        <w:rPr>
          <w:rFonts w:hint="eastAsia" w:ascii="黑体" w:hAnsi="黑体" w:eastAsia="黑体"/>
          <w:sz w:val="32"/>
          <w:szCs w:val="24"/>
        </w:rPr>
        <w:t>言</w:t>
      </w:r>
    </w:p>
    <w:p>
      <w:pPr>
        <w:pStyle w:val="6"/>
        <w:tabs>
          <w:tab w:val="left" w:pos="960"/>
        </w:tabs>
        <w:kinsoku w:val="0"/>
        <w:overflowPunct w:val="0"/>
        <w:spacing w:before="212" w:beforeLines="0" w:afterLines="0"/>
        <w:ind w:right="232"/>
        <w:jc w:val="center"/>
        <w:rPr>
          <w:rFonts w:hint="eastAsia" w:ascii="黑体" w:hAnsi="黑体" w:eastAsia="黑体"/>
          <w:sz w:val="32"/>
          <w:szCs w:val="24"/>
        </w:rPr>
      </w:pPr>
    </w:p>
    <w:p>
      <w:pPr>
        <w:pStyle w:val="6"/>
        <w:tabs>
          <w:tab w:val="left" w:pos="4788"/>
        </w:tabs>
        <w:kinsoku w:val="0"/>
        <w:overflowPunct w:val="0"/>
        <w:spacing w:beforeLines="0" w:afterLines="0"/>
        <w:ind w:right="360"/>
        <w:jc w:val="left"/>
        <w:rPr>
          <w:rFonts w:hint="eastAsia"/>
          <w:sz w:val="24"/>
          <w:szCs w:val="24"/>
        </w:rPr>
      </w:pP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本标准按照GB/T 1.1—2009给出的规则起草。</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本标准由技术质量处提出</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本标准由技术质量处归口</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本标准负责起草单位：技术质量处</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本标准起草人：</w:t>
      </w:r>
    </w:p>
    <w:p>
      <w:pPr>
        <w:pStyle w:val="6"/>
        <w:tabs>
          <w:tab w:val="left" w:pos="4788"/>
        </w:tabs>
        <w:kinsoku w:val="0"/>
        <w:overflowPunct w:val="0"/>
        <w:spacing w:beforeLines="0" w:afterLines="0"/>
        <w:ind w:right="360"/>
        <w:jc w:val="center"/>
        <w:rPr>
          <w:rFonts w:hint="default" w:ascii="黑体" w:hAnsi="黑体" w:eastAsia="黑体"/>
          <w:w w:val="120"/>
          <w:position w:val="3"/>
          <w:sz w:val="28"/>
          <w:szCs w:val="24"/>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158"/>
        </w:tabs>
        <w:bidi w:val="0"/>
        <w:jc w:val="left"/>
        <w:rPr>
          <w:rFonts w:hint="default"/>
          <w:lang w:val="en-US" w:eastAsia="zh-CN"/>
        </w:rPr>
      </w:pPr>
    </w:p>
    <w:p>
      <w:pPr>
        <w:bidi w:val="0"/>
        <w:rPr>
          <w:rFonts w:hint="default"/>
          <w:lang w:val="en-US" w:eastAsia="zh-CN"/>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1"/>
        <w:gridCol w:w="5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341" w:type="dxa"/>
            <w:tcBorders>
              <w:top w:val="single" w:color="000000" w:sz="12" w:space="0"/>
              <w:left w:val="single" w:color="000000" w:sz="12" w:space="0"/>
              <w:bottom w:val="single" w:color="000000" w:sz="2" w:space="0"/>
              <w:right w:val="single" w:color="000000" w:sz="2" w:space="0"/>
              <w:tl2br w:val="nil"/>
              <w:tr2bl w:val="nil"/>
            </w:tcBorders>
            <w:noWrap w:val="0"/>
            <w:vAlign w:val="top"/>
          </w:tcPr>
          <w:p>
            <w:pPr>
              <w:pStyle w:val="10"/>
              <w:tabs>
                <w:tab w:val="left" w:pos="576"/>
              </w:tabs>
              <w:kinsoku w:val="0"/>
              <w:overflowPunct w:val="0"/>
              <w:spacing w:before="204" w:beforeLines="0" w:afterLines="0"/>
              <w:ind w:left="15"/>
              <w:rPr>
                <w:rFonts w:hint="eastAsia"/>
                <w:sz w:val="28"/>
                <w:szCs w:val="24"/>
              </w:rPr>
            </w:pPr>
            <w:r>
              <w:rPr>
                <w:rFonts w:hint="eastAsia"/>
                <w:sz w:val="28"/>
                <w:szCs w:val="24"/>
              </w:rPr>
              <w:t>批</w:t>
            </w:r>
            <w:r>
              <w:rPr>
                <w:rFonts w:hint="eastAsia"/>
                <w:sz w:val="28"/>
                <w:szCs w:val="24"/>
              </w:rPr>
              <w:tab/>
            </w:r>
            <w:r>
              <w:rPr>
                <w:rFonts w:hint="eastAsia"/>
                <w:sz w:val="28"/>
                <w:szCs w:val="24"/>
              </w:rPr>
              <w:t>准</w:t>
            </w:r>
          </w:p>
        </w:tc>
        <w:tc>
          <w:tcPr>
            <w:tcW w:w="5896" w:type="dxa"/>
            <w:tcBorders>
              <w:top w:val="single" w:color="000000" w:sz="12" w:space="0"/>
              <w:left w:val="single" w:color="000000" w:sz="2" w:space="0"/>
              <w:bottom w:val="single" w:color="000000" w:sz="2" w:space="0"/>
              <w:right w:val="single" w:color="000000" w:sz="12" w:space="0"/>
              <w:tl2br w:val="nil"/>
              <w:tr2bl w:val="nil"/>
            </w:tcBorders>
            <w:noWrap w:val="0"/>
            <w:vAlign w:val="top"/>
          </w:tcPr>
          <w:p>
            <w:pPr>
              <w:pStyle w:val="10"/>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341" w:type="dxa"/>
            <w:tcBorders>
              <w:top w:val="single" w:color="000000" w:sz="2" w:space="0"/>
              <w:left w:val="single" w:color="000000" w:sz="12" w:space="0"/>
              <w:bottom w:val="single" w:color="000000" w:sz="2" w:space="0"/>
              <w:right w:val="single" w:color="000000" w:sz="2" w:space="0"/>
              <w:tl2br w:val="nil"/>
              <w:tr2bl w:val="nil"/>
            </w:tcBorders>
            <w:noWrap w:val="0"/>
            <w:vAlign w:val="top"/>
          </w:tcPr>
          <w:p>
            <w:pPr>
              <w:pStyle w:val="10"/>
              <w:kinsoku w:val="0"/>
              <w:overflowPunct w:val="0"/>
              <w:spacing w:before="203" w:beforeLines="0" w:afterLines="0"/>
              <w:ind w:left="15"/>
              <w:rPr>
                <w:rFonts w:hint="eastAsia"/>
                <w:sz w:val="28"/>
                <w:szCs w:val="24"/>
              </w:rPr>
            </w:pPr>
            <w:r>
              <w:rPr>
                <w:rFonts w:hint="eastAsia"/>
                <w:sz w:val="28"/>
                <w:szCs w:val="24"/>
              </w:rPr>
              <w:t>标准化</w:t>
            </w:r>
          </w:p>
        </w:tc>
        <w:tc>
          <w:tcPr>
            <w:tcW w:w="5896" w:type="dxa"/>
            <w:tcBorders>
              <w:top w:val="single" w:color="000000" w:sz="2" w:space="0"/>
              <w:left w:val="single" w:color="000000" w:sz="2" w:space="0"/>
              <w:bottom w:val="single" w:color="000000" w:sz="2" w:space="0"/>
              <w:right w:val="single" w:color="000000" w:sz="12" w:space="0"/>
              <w:tl2br w:val="nil"/>
              <w:tr2bl w:val="nil"/>
            </w:tcBorders>
            <w:noWrap w:val="0"/>
            <w:vAlign w:val="top"/>
          </w:tcPr>
          <w:p>
            <w:pPr>
              <w:pStyle w:val="10"/>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341" w:type="dxa"/>
            <w:tcBorders>
              <w:top w:val="single" w:color="000000" w:sz="2" w:space="0"/>
              <w:left w:val="single" w:color="000000" w:sz="12" w:space="0"/>
              <w:bottom w:val="single" w:color="000000" w:sz="2" w:space="0"/>
              <w:right w:val="single" w:color="000000" w:sz="2" w:space="0"/>
              <w:tl2br w:val="nil"/>
              <w:tr2bl w:val="nil"/>
            </w:tcBorders>
            <w:noWrap w:val="0"/>
            <w:vAlign w:val="top"/>
          </w:tcPr>
          <w:p>
            <w:pPr>
              <w:pStyle w:val="10"/>
              <w:tabs>
                <w:tab w:val="left" w:pos="576"/>
              </w:tabs>
              <w:kinsoku w:val="0"/>
              <w:overflowPunct w:val="0"/>
              <w:spacing w:before="202" w:beforeLines="0" w:afterLines="0"/>
              <w:ind w:left="15"/>
              <w:rPr>
                <w:rFonts w:hint="eastAsia"/>
                <w:sz w:val="28"/>
                <w:szCs w:val="24"/>
              </w:rPr>
            </w:pPr>
            <w:r>
              <w:rPr>
                <w:rFonts w:hint="eastAsia"/>
                <w:sz w:val="28"/>
                <w:szCs w:val="24"/>
              </w:rPr>
              <w:t>审</w:t>
            </w:r>
            <w:r>
              <w:rPr>
                <w:rFonts w:hint="eastAsia"/>
                <w:sz w:val="28"/>
                <w:szCs w:val="24"/>
              </w:rPr>
              <w:tab/>
            </w:r>
            <w:r>
              <w:rPr>
                <w:rFonts w:hint="eastAsia"/>
                <w:sz w:val="28"/>
                <w:szCs w:val="24"/>
              </w:rPr>
              <w:t>核</w:t>
            </w:r>
          </w:p>
        </w:tc>
        <w:tc>
          <w:tcPr>
            <w:tcW w:w="5896" w:type="dxa"/>
            <w:tcBorders>
              <w:top w:val="single" w:color="000000" w:sz="2" w:space="0"/>
              <w:left w:val="single" w:color="000000" w:sz="2" w:space="0"/>
              <w:bottom w:val="single" w:color="000000" w:sz="2" w:space="0"/>
              <w:right w:val="single" w:color="000000" w:sz="12" w:space="0"/>
              <w:tl2br w:val="nil"/>
              <w:tr2bl w:val="nil"/>
            </w:tcBorders>
            <w:noWrap w:val="0"/>
            <w:vAlign w:val="top"/>
          </w:tcPr>
          <w:p>
            <w:pPr>
              <w:pStyle w:val="10"/>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41" w:type="dxa"/>
            <w:tcBorders>
              <w:top w:val="single" w:color="000000" w:sz="2" w:space="0"/>
              <w:left w:val="single" w:color="000000" w:sz="12" w:space="0"/>
              <w:bottom w:val="single" w:color="000000" w:sz="12" w:space="0"/>
              <w:right w:val="single" w:color="000000" w:sz="2" w:space="0"/>
              <w:tl2br w:val="nil"/>
              <w:tr2bl w:val="nil"/>
            </w:tcBorders>
            <w:noWrap w:val="0"/>
            <w:vAlign w:val="top"/>
          </w:tcPr>
          <w:p>
            <w:pPr>
              <w:pStyle w:val="10"/>
              <w:tabs>
                <w:tab w:val="left" w:pos="576"/>
              </w:tabs>
              <w:kinsoku w:val="0"/>
              <w:overflowPunct w:val="0"/>
              <w:spacing w:before="200" w:beforeLines="0" w:afterLines="0"/>
              <w:ind w:left="15"/>
              <w:rPr>
                <w:rFonts w:hint="eastAsia"/>
                <w:sz w:val="28"/>
                <w:szCs w:val="24"/>
              </w:rPr>
            </w:pPr>
            <w:r>
              <w:rPr>
                <w:rFonts w:hint="eastAsia"/>
                <w:sz w:val="28"/>
                <w:szCs w:val="24"/>
              </w:rPr>
              <w:t>编</w:t>
            </w:r>
            <w:r>
              <w:rPr>
                <w:rFonts w:hint="eastAsia"/>
                <w:sz w:val="28"/>
                <w:szCs w:val="24"/>
              </w:rPr>
              <w:tab/>
            </w:r>
            <w:r>
              <w:rPr>
                <w:rFonts w:hint="eastAsia"/>
                <w:sz w:val="28"/>
                <w:szCs w:val="24"/>
              </w:rPr>
              <w:t>制</w:t>
            </w:r>
          </w:p>
        </w:tc>
        <w:tc>
          <w:tcPr>
            <w:tcW w:w="5896" w:type="dxa"/>
            <w:tcBorders>
              <w:top w:val="single" w:color="000000" w:sz="2" w:space="0"/>
              <w:left w:val="single" w:color="000000" w:sz="2" w:space="0"/>
              <w:bottom w:val="single" w:color="000000" w:sz="12" w:space="0"/>
              <w:right w:val="single" w:color="000000" w:sz="12" w:space="0"/>
              <w:tl2br w:val="nil"/>
              <w:tr2bl w:val="nil"/>
            </w:tcBorders>
            <w:noWrap w:val="0"/>
            <w:vAlign w:val="top"/>
          </w:tcPr>
          <w:p>
            <w:pPr>
              <w:pStyle w:val="10"/>
              <w:kinsoku w:val="0"/>
              <w:overflowPunct w:val="0"/>
              <w:spacing w:beforeLines="0" w:afterLines="0"/>
              <w:jc w:val="left"/>
              <w:rPr>
                <w:rFonts w:hint="default" w:ascii="Times New Roman" w:hAnsi="Times New Roman" w:eastAsia="Times New Roman"/>
                <w:sz w:val="20"/>
                <w:szCs w:val="24"/>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663"/>
        </w:tabs>
        <w:bidi w:val="0"/>
        <w:jc w:val="left"/>
        <w:rPr>
          <w:rFonts w:hint="eastAsia"/>
          <w:lang w:val="en-US" w:eastAsia="zh-CN"/>
        </w:rPr>
      </w:pPr>
    </w:p>
    <w:p>
      <w:pPr>
        <w:tabs>
          <w:tab w:val="left" w:pos="1663"/>
        </w:tabs>
        <w:bidi w:val="0"/>
        <w:jc w:val="left"/>
        <w:rPr>
          <w:rFonts w:hint="eastAsia"/>
          <w:lang w:val="en-US" w:eastAsia="zh-CN"/>
        </w:rPr>
      </w:pPr>
    </w:p>
    <w:p>
      <w:pPr>
        <w:tabs>
          <w:tab w:val="left" w:pos="1663"/>
        </w:tabs>
        <w:bidi w:val="0"/>
        <w:jc w:val="left"/>
        <w:rPr>
          <w:rFonts w:hint="eastAsia"/>
          <w:lang w:val="en-US" w:eastAsia="zh-CN"/>
        </w:rPr>
      </w:pPr>
    </w:p>
    <w:p>
      <w:pPr>
        <w:tabs>
          <w:tab w:val="left" w:pos="1663"/>
        </w:tabs>
        <w:bidi w:val="0"/>
        <w:jc w:val="left"/>
        <w:rPr>
          <w:rFonts w:hint="eastAsia"/>
          <w:lang w:val="en-US" w:eastAsia="zh-CN"/>
        </w:rPr>
      </w:pPr>
    </w:p>
    <w:p>
      <w:pPr>
        <w:tabs>
          <w:tab w:val="left" w:pos="1663"/>
        </w:tabs>
        <w:bidi w:val="0"/>
        <w:jc w:val="left"/>
        <w:rPr>
          <w:rFonts w:hint="eastAsia" w:ascii="黑体" w:hAnsi="黑体" w:eastAsia="黑体" w:cs="黑体"/>
          <w:b/>
          <w:bCs/>
          <w:spacing w:val="57"/>
          <w:sz w:val="32"/>
          <w:szCs w:val="32"/>
          <w:lang w:val="en-US" w:eastAsia="zh-CN"/>
        </w:rPr>
      </w:pPr>
      <w:r>
        <w:rPr>
          <w:rFonts w:hint="eastAsia"/>
          <w:lang w:val="en-US" w:eastAsia="zh-CN"/>
        </w:rPr>
        <w:tab/>
      </w:r>
    </w:p>
    <w:p>
      <w:pPr>
        <w:tabs>
          <w:tab w:val="left" w:pos="1663"/>
        </w:tabs>
        <w:bidi w:val="0"/>
        <w:jc w:val="center"/>
        <w:rPr>
          <w:rFonts w:hint="eastAsia" w:ascii="黑体" w:hAnsi="黑体" w:eastAsia="黑体" w:cs="黑体"/>
          <w:b/>
          <w:bCs/>
          <w:spacing w:val="57"/>
          <w:sz w:val="32"/>
          <w:szCs w:val="32"/>
          <w:lang w:val="en-US" w:eastAsia="zh-CN"/>
        </w:rPr>
      </w:pPr>
      <w:r>
        <w:rPr>
          <w:rFonts w:hint="eastAsia" w:ascii="黑体" w:hAnsi="黑体" w:eastAsia="黑体" w:cs="黑体"/>
          <w:b/>
          <w:bCs/>
          <w:spacing w:val="57"/>
          <w:sz w:val="32"/>
          <w:szCs w:val="32"/>
          <w:lang w:val="en-US" w:eastAsia="zh-CN"/>
        </w:rPr>
        <w:t>聚酯打包带</w:t>
      </w:r>
    </w:p>
    <w:p>
      <w:pPr>
        <w:pStyle w:val="3"/>
        <w:numPr>
          <w:ilvl w:val="0"/>
          <w:numId w:val="1"/>
        </w:numPr>
        <w:bidi w:val="0"/>
        <w:rPr>
          <w:rFonts w:hint="eastAsia" w:ascii="黑体" w:hAnsi="黑体" w:eastAsia="黑体" w:cs="黑体"/>
          <w:b/>
          <w:spacing w:val="28"/>
          <w:kern w:val="3"/>
          <w:sz w:val="30"/>
          <w:szCs w:val="30"/>
          <w:lang w:val="en-US" w:eastAsia="zh-CN"/>
        </w:rPr>
      </w:pPr>
      <w:r>
        <w:rPr>
          <w:rFonts w:hint="eastAsia" w:ascii="黑体" w:hAnsi="黑体" w:eastAsia="黑体" w:cs="黑体"/>
          <w:b/>
          <w:spacing w:val="28"/>
          <w:kern w:val="3"/>
          <w:sz w:val="30"/>
          <w:szCs w:val="30"/>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本标准适用于广西百矿新材料技术有限公司车轮产品机用打包带。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本标准适用于广西百矿新材料技术有限公司所有机用打包带质量检查验收。</w:t>
      </w:r>
    </w:p>
    <w:p>
      <w:pPr>
        <w:pStyle w:val="3"/>
        <w:bidi w:val="0"/>
        <w:rPr>
          <w:rFonts w:hint="eastAsia"/>
          <w:lang w:val="en-US" w:eastAsia="zh-CN"/>
        </w:rPr>
      </w:pPr>
      <w:r>
        <w:rPr>
          <w:rFonts w:hint="eastAsia"/>
          <w:lang w:val="en-US" w:eastAsia="zh-CN"/>
        </w:rPr>
        <w:t>2  引用文件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QB/T 4010-2010 聚酯打包带</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 12023-1989</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塑料打包带</w:t>
      </w:r>
    </w:p>
    <w:p>
      <w:pPr>
        <w:pStyle w:val="3"/>
        <w:bidi w:val="0"/>
        <w:rPr>
          <w:rFonts w:hint="default"/>
          <w:lang w:val="en-US" w:eastAsia="zh-CN"/>
        </w:rPr>
      </w:pPr>
      <w:r>
        <w:rPr>
          <w:rFonts w:hint="eastAsia"/>
          <w:lang w:val="en-US" w:eastAsia="zh-CN"/>
        </w:rPr>
        <w:t>3  产品规格</w:t>
      </w:r>
    </w:p>
    <w:p>
      <w:pPr>
        <w:pStyle w:val="3"/>
        <w:keepNext/>
        <w:keepLines/>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b w:val="0"/>
          <w:bCs/>
          <w:sz w:val="30"/>
          <w:szCs w:val="30"/>
          <w:lang w:val="en-US" w:eastAsia="zh-CN"/>
        </w:rPr>
      </w:pPr>
      <w:r>
        <w:rPr>
          <w:rFonts w:hint="eastAsia" w:ascii="黑体" w:hAnsi="黑体" w:cs="黑体"/>
          <w:b w:val="0"/>
          <w:bCs/>
          <w:sz w:val="30"/>
          <w:szCs w:val="30"/>
          <w:lang w:val="en-US" w:eastAsia="zh-CN"/>
        </w:rPr>
        <w:t>3</w:t>
      </w:r>
      <w:r>
        <w:rPr>
          <w:rFonts w:hint="eastAsia" w:ascii="黑体" w:hAnsi="黑体" w:eastAsia="黑体" w:cs="黑体"/>
          <w:b w:val="0"/>
          <w:bCs/>
          <w:sz w:val="30"/>
          <w:szCs w:val="30"/>
          <w:lang w:val="en-US" w:eastAsia="zh-CN"/>
        </w:rPr>
        <w:t>.1</w:t>
      </w:r>
      <w:r>
        <w:rPr>
          <w:rFonts w:hint="eastAsia" w:ascii="黑体" w:hAnsi="黑体" w:cs="黑体"/>
          <w:b w:val="0"/>
          <w:bCs/>
          <w:sz w:val="30"/>
          <w:szCs w:val="30"/>
          <w:lang w:val="en-US" w:eastAsia="zh-CN"/>
        </w:rPr>
        <w:t>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PET(聚对苯二甲酸乙二醇酯)。</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3.2颜色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78105</wp:posOffset>
                </wp:positionV>
                <wp:extent cx="533400" cy="161925"/>
                <wp:effectExtent l="6350" t="6350" r="12700" b="22225"/>
                <wp:wrapNone/>
                <wp:docPr id="1" name="矩形 1"/>
                <wp:cNvGraphicFramePr/>
                <a:graphic xmlns:a="http://schemas.openxmlformats.org/drawingml/2006/main">
                  <a:graphicData uri="http://schemas.microsoft.com/office/word/2010/wordprocessingShape">
                    <wps:wsp>
                      <wps:cNvSpPr/>
                      <wps:spPr>
                        <a:xfrm>
                          <a:off x="1537335" y="6320155"/>
                          <a:ext cx="533400" cy="161925"/>
                        </a:xfrm>
                        <a:prstGeom prst="rect">
                          <a:avLst/>
                        </a:prstGeom>
                        <a:solidFill>
                          <a:srgbClr val="00AF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1pt;margin-top:6.15pt;height:12.75pt;width:42pt;z-index:251659264;v-text-anchor:middle;mso-width-relative:page;mso-height-relative:page;" fillcolor="#00AF50" filled="t" stroked="t" coordsize="21600,21600" o:gfxdata="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vPXaNcAAAAJ&#10;AQAADwAAAAAAAAABACAAAAAiAAAAZHJzL2Rvd25yZXYueG1sUEsBAhQAFAAAAAgAh07iQM1RLBmP&#10;AgAAIAUAAA4AAAAAAAAAAQAgAAAAJgEAAGRycy9lMm9Eb2MueG1sUEsFBgAAAAAGAAYAWQEAACcG&#10;AAAAAA==&#10;">
                <v:fill on="t" focussize="0,0"/>
                <v:stroke weight="1pt" color="#41719C [3204]" miterlimit="8" joinstyle="miter"/>
                <v:imagedata o:title=""/>
                <o:lock v:ext="edit" aspectratio="f"/>
              </v:rect>
            </w:pict>
          </mc:Fallback>
        </mc:AlternateContent>
      </w:r>
      <w:r>
        <w:rPr>
          <w:rFonts w:hint="eastAsia" w:ascii="黑体" w:hAnsi="黑体" w:eastAsia="黑体" w:cs="黑体"/>
          <w:sz w:val="24"/>
          <w:szCs w:val="24"/>
          <w:lang w:val="en-US" w:eastAsia="zh-CN"/>
        </w:rPr>
        <w:t>绿色。</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3.3尺寸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见表1。</w:t>
      </w:r>
    </w:p>
    <w:p>
      <w:pPr>
        <w:pStyle w:val="3"/>
        <w:bidi w:val="0"/>
        <w:rPr>
          <w:rFonts w:hint="eastAsia"/>
          <w:lang w:val="en-US" w:eastAsia="zh-CN"/>
        </w:rPr>
      </w:pPr>
      <w:r>
        <w:rPr>
          <w:rFonts w:hint="eastAsia"/>
          <w:lang w:val="en-US" w:eastAsia="zh-CN"/>
        </w:rPr>
        <w:t>4  技术要求</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4.1产品规格及参数</w:t>
      </w:r>
    </w:p>
    <w:p>
      <w:pPr>
        <w:pStyle w:val="6"/>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见表1</w:t>
      </w:r>
      <w:r>
        <w:rPr>
          <w:rFonts w:hint="eastAsia" w:ascii="黑体" w:hAnsi="黑体" w:eastAsia="黑体" w:cs="黑体"/>
          <w:sz w:val="24"/>
          <w:szCs w:val="24"/>
          <w:lang w:eastAsia="zh-CN"/>
        </w:rPr>
        <w:t>。</w:t>
      </w:r>
    </w:p>
    <w:p>
      <w:pPr>
        <w:rPr>
          <w:rFonts w:hint="default"/>
          <w:lang w:val="en-US" w:eastAsia="zh-CN"/>
        </w:rPr>
      </w:pPr>
    </w:p>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eastAsia" w:ascii="黑体" w:hAnsi="黑体" w:eastAsia="黑体"/>
          <w:sz w:val="24"/>
          <w:szCs w:val="24"/>
        </w:rPr>
      </w:pPr>
    </w:p>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eastAsia" w:ascii="黑体" w:hAnsi="黑体" w:eastAsia="黑体"/>
          <w:sz w:val="24"/>
          <w:szCs w:val="24"/>
        </w:rPr>
      </w:pPr>
    </w:p>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eastAsia" w:ascii="黑体" w:hAnsi="黑体" w:eastAsia="黑体"/>
          <w:spacing w:val="-3"/>
          <w:sz w:val="24"/>
          <w:szCs w:val="24"/>
        </w:rPr>
      </w:pPr>
      <w:r>
        <w:rPr>
          <w:rFonts w:hint="eastAsia" w:ascii="黑体" w:hAnsi="黑体" w:eastAsia="黑体"/>
          <w:sz w:val="24"/>
          <w:szCs w:val="24"/>
        </w:rPr>
        <w:t>表</w:t>
      </w:r>
      <w:r>
        <w:rPr>
          <w:rFonts w:hint="eastAsia" w:ascii="黑体" w:hAnsi="黑体" w:eastAsia="黑体"/>
          <w:spacing w:val="-53"/>
          <w:sz w:val="24"/>
          <w:szCs w:val="24"/>
        </w:rPr>
        <w:t xml:space="preserve"> </w:t>
      </w:r>
      <w:r>
        <w:rPr>
          <w:rFonts w:hint="eastAsia" w:ascii="黑体" w:hAnsi="黑体" w:eastAsia="黑体"/>
          <w:sz w:val="24"/>
          <w:szCs w:val="24"/>
        </w:rPr>
        <w:t>1</w:t>
      </w:r>
      <w:r>
        <w:rPr>
          <w:rFonts w:hint="eastAsia" w:ascii="黑体" w:hAnsi="黑体" w:eastAsia="黑体"/>
          <w:sz w:val="24"/>
          <w:szCs w:val="24"/>
        </w:rPr>
        <w:tab/>
      </w:r>
      <w:r>
        <w:rPr>
          <w:rFonts w:hint="eastAsia" w:ascii="黑体" w:hAnsi="黑体" w:eastAsia="黑体"/>
          <w:spacing w:val="-3"/>
          <w:sz w:val="24"/>
          <w:szCs w:val="24"/>
        </w:rPr>
        <w:t>PET 打包带规格及参数</w:t>
      </w:r>
    </w:p>
    <w:tbl>
      <w:tblPr>
        <w:tblStyle w:val="8"/>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48"/>
        <w:gridCol w:w="911"/>
        <w:gridCol w:w="728"/>
        <w:gridCol w:w="964"/>
        <w:gridCol w:w="1061"/>
        <w:gridCol w:w="1157"/>
        <w:gridCol w:w="851"/>
        <w:gridCol w:w="1125"/>
        <w:gridCol w:w="126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03"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规格代号</w:t>
            </w:r>
          </w:p>
        </w:tc>
        <w:tc>
          <w:tcPr>
            <w:tcW w:w="748"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宽度（mm）</w:t>
            </w:r>
          </w:p>
        </w:tc>
        <w:tc>
          <w:tcPr>
            <w:tcW w:w="911"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宽度偏差（mm）</w:t>
            </w:r>
          </w:p>
        </w:tc>
        <w:tc>
          <w:tcPr>
            <w:tcW w:w="728"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厚度（mm）</w:t>
            </w:r>
          </w:p>
        </w:tc>
        <w:tc>
          <w:tcPr>
            <w:tcW w:w="964"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厚度偏差（mm）</w:t>
            </w:r>
          </w:p>
        </w:tc>
        <w:tc>
          <w:tcPr>
            <w:tcW w:w="1061"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断裂拉力（KN）</w:t>
            </w:r>
          </w:p>
        </w:tc>
        <w:tc>
          <w:tcPr>
            <w:tcW w:w="1157"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断裂伸长率（%）</w:t>
            </w:r>
          </w:p>
        </w:tc>
        <w:tc>
          <w:tcPr>
            <w:tcW w:w="851"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偏斜度（%）</w:t>
            </w:r>
          </w:p>
        </w:tc>
        <w:tc>
          <w:tcPr>
            <w:tcW w:w="1125"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每米克重（g/m）</w:t>
            </w:r>
          </w:p>
        </w:tc>
        <w:tc>
          <w:tcPr>
            <w:tcW w:w="1269"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单位质量长度（m/kg）</w:t>
            </w:r>
          </w:p>
        </w:tc>
        <w:tc>
          <w:tcPr>
            <w:tcW w:w="905"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强度（kg/根）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03"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12050-12080</w:t>
            </w:r>
          </w:p>
        </w:tc>
        <w:tc>
          <w:tcPr>
            <w:tcW w:w="748"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12</w:t>
            </w:r>
          </w:p>
        </w:tc>
        <w:tc>
          <w:tcPr>
            <w:tcW w:w="911"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±0.5</w:t>
            </w:r>
          </w:p>
        </w:tc>
        <w:tc>
          <w:tcPr>
            <w:tcW w:w="728"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0.8</w:t>
            </w:r>
            <w:r>
              <w:rPr>
                <w:rFonts w:hint="eastAsia" w:ascii="微软雅黑" w:hAnsi="微软雅黑" w:eastAsia="微软雅黑" w:cs="微软雅黑"/>
                <w:spacing w:val="-3"/>
                <w:sz w:val="21"/>
                <w:szCs w:val="21"/>
                <w:vertAlign w:val="baseline"/>
                <w:lang w:val="en-US" w:eastAsia="zh-CN"/>
              </w:rPr>
              <w:t>~</w:t>
            </w:r>
            <w:r>
              <w:rPr>
                <w:rFonts w:hint="eastAsia" w:ascii="黑体" w:hAnsi="黑体" w:eastAsia="黑体"/>
                <w:spacing w:val="-3"/>
                <w:sz w:val="21"/>
                <w:szCs w:val="21"/>
                <w:vertAlign w:val="baseline"/>
                <w:lang w:val="en-US" w:eastAsia="zh-CN"/>
              </w:rPr>
              <w:t>1.0</w:t>
            </w:r>
          </w:p>
        </w:tc>
        <w:tc>
          <w:tcPr>
            <w:tcW w:w="964"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±0.05</w:t>
            </w:r>
          </w:p>
        </w:tc>
        <w:tc>
          <w:tcPr>
            <w:tcW w:w="1061"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≥2.5</w:t>
            </w:r>
          </w:p>
        </w:tc>
        <w:tc>
          <w:tcPr>
            <w:tcW w:w="1157"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5</w:t>
            </w:r>
            <w:r>
              <w:rPr>
                <w:rFonts w:hint="eastAsia" w:ascii="微软雅黑" w:hAnsi="微软雅黑" w:eastAsia="微软雅黑" w:cs="微软雅黑"/>
                <w:spacing w:val="-3"/>
                <w:sz w:val="21"/>
                <w:szCs w:val="21"/>
                <w:vertAlign w:val="baseline"/>
                <w:lang w:val="en-US" w:eastAsia="zh-CN"/>
              </w:rPr>
              <w:t>~</w:t>
            </w:r>
            <w:r>
              <w:rPr>
                <w:rFonts w:hint="eastAsia" w:ascii="黑体" w:hAnsi="黑体" w:eastAsia="黑体"/>
                <w:spacing w:val="-3"/>
                <w:sz w:val="21"/>
                <w:szCs w:val="21"/>
                <w:vertAlign w:val="baseline"/>
                <w:lang w:val="en-US" w:eastAsia="zh-CN"/>
              </w:rPr>
              <w:t>21</w:t>
            </w:r>
          </w:p>
        </w:tc>
        <w:tc>
          <w:tcPr>
            <w:tcW w:w="851"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≤5</w:t>
            </w:r>
          </w:p>
        </w:tc>
        <w:tc>
          <w:tcPr>
            <w:tcW w:w="1125"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1"/>
                <w:szCs w:val="21"/>
                <w:vertAlign w:val="baseline"/>
                <w:lang w:val="en-US" w:eastAsia="zh-CN"/>
              </w:rPr>
              <w:t>8.4</w:t>
            </w:r>
            <w:r>
              <w:rPr>
                <w:rFonts w:hint="eastAsia" w:ascii="微软雅黑" w:hAnsi="微软雅黑" w:eastAsia="微软雅黑" w:cs="微软雅黑"/>
                <w:spacing w:val="-3"/>
                <w:sz w:val="21"/>
                <w:szCs w:val="21"/>
                <w:vertAlign w:val="baseline"/>
                <w:lang w:val="en-US" w:eastAsia="zh-CN"/>
              </w:rPr>
              <w:t>~</w:t>
            </w:r>
            <w:r>
              <w:rPr>
                <w:rFonts w:hint="eastAsia" w:ascii="黑体" w:hAnsi="黑体" w:eastAsia="黑体"/>
                <w:spacing w:val="-3"/>
                <w:sz w:val="21"/>
                <w:szCs w:val="21"/>
                <w:vertAlign w:val="baseline"/>
                <w:lang w:val="en-US" w:eastAsia="zh-CN"/>
              </w:rPr>
              <w:t>13.5</w:t>
            </w:r>
          </w:p>
        </w:tc>
        <w:tc>
          <w:tcPr>
            <w:tcW w:w="1269"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1"/>
                <w:szCs w:val="21"/>
                <w:vertAlign w:val="baseline"/>
                <w:lang w:val="en-US" w:eastAsia="zh-CN"/>
              </w:rPr>
            </w:pPr>
            <w:r>
              <w:rPr>
                <w:rFonts w:hint="eastAsia" w:ascii="黑体" w:hAnsi="黑体" w:eastAsia="黑体"/>
                <w:spacing w:val="-3"/>
                <w:sz w:val="20"/>
                <w:szCs w:val="20"/>
                <w:vertAlign w:val="baseline"/>
                <w:lang w:val="en-US" w:eastAsia="zh-CN"/>
              </w:rPr>
              <w:t>74.1</w:t>
            </w:r>
            <w:r>
              <w:rPr>
                <w:rFonts w:hint="eastAsia" w:ascii="微软雅黑" w:hAnsi="微软雅黑" w:eastAsia="微软雅黑" w:cs="微软雅黑"/>
                <w:spacing w:val="-3"/>
                <w:sz w:val="20"/>
                <w:szCs w:val="20"/>
                <w:vertAlign w:val="baseline"/>
                <w:lang w:val="en-US" w:eastAsia="zh-CN"/>
              </w:rPr>
              <w:t>~119.0</w:t>
            </w:r>
          </w:p>
        </w:tc>
        <w:tc>
          <w:tcPr>
            <w:tcW w:w="905" w:type="dxa"/>
            <w:vAlign w:val="center"/>
          </w:tcPr>
          <w:p>
            <w:pPr>
              <w:pStyle w:val="6"/>
              <w:keepNext w:val="0"/>
              <w:keepLines w:val="0"/>
              <w:pageBreakBefore w:val="0"/>
              <w:widowControl w:val="0"/>
              <w:tabs>
                <w:tab w:val="left" w:pos="578"/>
              </w:tabs>
              <w:kinsoku w:val="0"/>
              <w:wordWrap/>
              <w:overflowPunct w:val="0"/>
              <w:topLinePunct w:val="0"/>
              <w:autoSpaceDE/>
              <w:autoSpaceDN/>
              <w:bidi w:val="0"/>
              <w:adjustRightInd/>
              <w:snapToGrid/>
              <w:spacing w:beforeLines="0" w:afterLines="0" w:line="360" w:lineRule="auto"/>
              <w:jc w:val="center"/>
              <w:textAlignment w:val="auto"/>
              <w:rPr>
                <w:rFonts w:hint="default" w:ascii="黑体" w:hAnsi="黑体" w:eastAsia="黑体"/>
                <w:spacing w:val="-3"/>
                <w:sz w:val="20"/>
                <w:szCs w:val="20"/>
                <w:vertAlign w:val="baseline"/>
                <w:lang w:val="en-US" w:eastAsia="zh-CN"/>
              </w:rPr>
            </w:pPr>
            <w:r>
              <w:rPr>
                <w:rFonts w:hint="eastAsia" w:ascii="黑体" w:hAnsi="黑体" w:eastAsia="黑体"/>
                <w:spacing w:val="-3"/>
                <w:sz w:val="20"/>
                <w:szCs w:val="20"/>
                <w:vertAlign w:val="baseline"/>
                <w:lang w:val="en-US" w:eastAsia="zh-CN"/>
              </w:rPr>
              <w:t>≥330</w:t>
            </w:r>
          </w:p>
        </w:tc>
      </w:tr>
    </w:tbl>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4.2外观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 xml:space="preserve">PET打包带的颜色及花纹应均匀，无明显污染，不应有开裂、毛刺、穿孔等影响使用的缺陷。[QB/T 4010-2010 聚酯打包带 定义4.1] </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4.3长度偏差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黑体" w:hAnsi="黑体" w:eastAsia="黑体" w:cs="黑体"/>
          <w:sz w:val="24"/>
          <w:szCs w:val="24"/>
          <w:lang w:val="en-US" w:eastAsia="zh-CN"/>
        </w:rPr>
        <w:t>每卷PET打包带长度由供需双方约定，其长度偏差为2 %。但每批次打包带的长度偏差平均值不能为负值。而且，长度偏差为负值的PET打包带卷数，不能超过本批次卷数的1/3。[QB/T 4010-2010 聚酯打包带 定义4.4]</w:t>
      </w:r>
    </w:p>
    <w:p>
      <w:pPr>
        <w:pStyle w:val="3"/>
        <w:bidi w:val="0"/>
        <w:rPr>
          <w:rFonts w:hint="eastAsia" w:ascii="黑体" w:hAnsi="黑体" w:cs="黑体"/>
          <w:lang w:val="en-US" w:eastAsia="zh-CN"/>
        </w:rPr>
      </w:pPr>
      <w:r>
        <w:rPr>
          <w:rFonts w:hint="eastAsia" w:ascii="黑体" w:hAnsi="黑体" w:cs="黑体"/>
          <w:lang w:val="en-US" w:eastAsia="zh-CN"/>
        </w:rPr>
        <w:t>5</w:t>
      </w:r>
      <w:r>
        <w:rPr>
          <w:rFonts w:hint="eastAsia" w:ascii="黑体" w:hAnsi="黑体" w:eastAsia="黑体" w:cs="黑体"/>
          <w:lang w:val="en-US" w:eastAsia="zh-CN"/>
        </w:rPr>
        <w:t xml:space="preserve">  </w:t>
      </w:r>
      <w:r>
        <w:rPr>
          <w:rFonts w:hint="eastAsia" w:ascii="黑体" w:hAnsi="黑体" w:cs="黑体"/>
          <w:lang w:val="en-US" w:eastAsia="zh-CN"/>
        </w:rPr>
        <w:t>试验方法</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5.1取样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取样应在PET打包带离开生产线48 h以后；随机从每批PET打包带中取5卷为样本单位，在每卷外端PET打包带卷绕转向处为起点剪除1 m后，取5根用于检测宽度、厚度和长度偏差；取2 m长样带5根，用于偏斜度测定。</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5.2 外观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正常光线下，用目测法检验。</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5.3宽度与厚度</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5.3.1仪器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精度为0.02 mm的游标卡尺；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精度为0.002 mm的千分尺。</w:t>
      </w:r>
    </w:p>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5.3.2方法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a)分别在每根试样的中间部位测量试样的宽度并记录相应测定值，取其算术平均值为试样宽度（精确到0.01 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b)分别在每根试样的中间部位测量试样的宽度并记录相应测定值，取其算术平均值为试样厚度（精确到0.01 mm）。</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5.4每米克重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按</w:t>
      </w:r>
      <w:r>
        <w:rPr>
          <w:rFonts w:hint="eastAsia" w:ascii="黑体" w:hAnsi="黑体" w:eastAsia="黑体" w:cs="黑体"/>
          <w:sz w:val="24"/>
          <w:szCs w:val="24"/>
          <w:lang w:val="en-US" w:eastAsia="zh-CN"/>
        </w:rPr>
        <w:t>QB/T4010-2010</w:t>
      </w:r>
      <w:r>
        <w:rPr>
          <w:rFonts w:hint="default" w:ascii="黑体" w:hAnsi="黑体" w:eastAsia="黑体" w:cs="黑体"/>
          <w:sz w:val="24"/>
          <w:szCs w:val="24"/>
          <w:lang w:val="en-US" w:eastAsia="zh-CN"/>
        </w:rPr>
        <w:t>中</w:t>
      </w:r>
      <w:r>
        <w:rPr>
          <w:rFonts w:hint="eastAsia" w:ascii="黑体" w:hAnsi="黑体" w:eastAsia="黑体" w:cs="黑体"/>
          <w:sz w:val="24"/>
          <w:szCs w:val="24"/>
          <w:lang w:val="en-US" w:eastAsia="zh-CN"/>
        </w:rPr>
        <w:t>附录A</w:t>
      </w:r>
      <w:r>
        <w:rPr>
          <w:rFonts w:hint="default" w:ascii="黑体" w:hAnsi="黑体" w:eastAsia="黑体" w:cs="黑体"/>
          <w:sz w:val="24"/>
          <w:szCs w:val="24"/>
          <w:lang w:val="en-US" w:eastAsia="zh-CN"/>
        </w:rPr>
        <w:t>规定执行。</w:t>
      </w:r>
    </w:p>
    <w:p>
      <w:pPr>
        <w:pStyle w:val="4"/>
        <w:bidi w:val="0"/>
        <w:rPr>
          <w:rFonts w:hint="default"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5.5</w:t>
      </w:r>
      <w:r>
        <w:rPr>
          <w:rFonts w:hint="default" w:ascii="黑体" w:hAnsi="黑体" w:eastAsia="黑体" w:cs="黑体"/>
          <w:b w:val="0"/>
          <w:bCs/>
          <w:sz w:val="30"/>
          <w:szCs w:val="30"/>
          <w:lang w:val="en-US" w:eastAsia="zh-CN"/>
        </w:rPr>
        <w:t>偏斜度</w:t>
      </w:r>
    </w:p>
    <w:p>
      <w:pPr>
        <w:pStyle w:val="6"/>
        <w:numPr>
          <w:ilvl w:val="0"/>
          <w:numId w:val="0"/>
        </w:numPr>
        <w:tabs>
          <w:tab w:val="left" w:pos="729"/>
          <w:tab w:val="left" w:pos="730"/>
        </w:tabs>
        <w:kinsoku w:val="0"/>
        <w:overflowPunct w:val="0"/>
        <w:spacing w:beforeLines="0" w:afterLines="0" w:line="240" w:lineRule="exact"/>
        <w:ind w:left="-9" w:left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5.5.1仪器</w:t>
      </w:r>
    </w:p>
    <w:p>
      <w:pPr>
        <w:pStyle w:val="6"/>
        <w:keepNext w:val="0"/>
        <w:keepLines w:val="0"/>
        <w:pageBreakBefore w:val="0"/>
        <w:widowControl w:val="0"/>
        <w:numPr>
          <w:ilvl w:val="0"/>
          <w:numId w:val="3"/>
        </w:numPr>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 xml:space="preserve">按照图1制造的偏斜度测量仪； </w:t>
      </w:r>
    </w:p>
    <w:p>
      <w:pPr>
        <w:pStyle w:val="6"/>
        <w:keepNext w:val="0"/>
        <w:keepLines w:val="0"/>
        <w:pageBreakBefore w:val="0"/>
        <w:widowControl w:val="0"/>
        <w:numPr>
          <w:ilvl w:val="0"/>
          <w:numId w:val="3"/>
        </w:numPr>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精度1 mm的直尺。</w:t>
      </w:r>
    </w:p>
    <w:p>
      <w:pPr>
        <w:pStyle w:val="6"/>
        <w:numPr>
          <w:ilvl w:val="0"/>
          <w:numId w:val="0"/>
        </w:numPr>
        <w:tabs>
          <w:tab w:val="left" w:pos="729"/>
          <w:tab w:val="left" w:pos="730"/>
        </w:tabs>
        <w:kinsoku w:val="0"/>
        <w:overflowPunct w:val="0"/>
        <w:spacing w:beforeLines="0" w:afterLines="0" w:line="240" w:lineRule="exact"/>
        <w:ind w:left="-9" w:leftChars="0"/>
        <w:rPr>
          <w:rFonts w:hint="eastAsia" w:ascii="黑体" w:hAnsi="黑体" w:eastAsia="黑体"/>
          <w:sz w:val="21"/>
          <w:szCs w:val="24"/>
        </w:rPr>
      </w:pPr>
      <w:r>
        <w:rPr>
          <w:rFonts w:hint="eastAsia" w:ascii="黑体" w:hAnsi="黑体" w:eastAsia="黑体" w:cs="黑体"/>
          <w:kern w:val="2"/>
          <w:sz w:val="24"/>
          <w:szCs w:val="24"/>
          <w:lang w:val="en-US" w:eastAsia="zh-CN" w:bidi="ar-SA"/>
        </w:rPr>
        <w:t>5.5.2</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将2 m试样自由平放于测量仪上，合上透明板，用直尺测量试样两端直线与打包带偏斜处的最大偏斜距离（图1），计算5根试样的偏斜距离的算术平均值（精确到1 mm），为试样的偏斜度。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drawing>
          <wp:anchor distT="0" distB="0" distL="114300" distR="114300" simplePos="0" relativeHeight="251660288" behindDoc="0" locked="0" layoutInCell="1" allowOverlap="1">
            <wp:simplePos x="0" y="0"/>
            <wp:positionH relativeFrom="column">
              <wp:posOffset>1648460</wp:posOffset>
            </wp:positionH>
            <wp:positionV relativeFrom="paragraph">
              <wp:posOffset>203835</wp:posOffset>
            </wp:positionV>
            <wp:extent cx="2766695" cy="1543685"/>
            <wp:effectExtent l="0" t="0" r="14605" b="18415"/>
            <wp:wrapTopAndBottom/>
            <wp:docPr id="8" name="图片 8" descr="图片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33"/>
                    <pic:cNvPicPr>
                      <a:picLocks noChangeAspect="1"/>
                    </pic:cNvPicPr>
                  </pic:nvPicPr>
                  <pic:blipFill>
                    <a:blip r:embed="rId4"/>
                    <a:stretch>
                      <a:fillRect/>
                    </a:stretch>
                  </pic:blipFill>
                  <pic:spPr>
                    <a:xfrm>
                      <a:off x="0" y="0"/>
                      <a:ext cx="2766695" cy="1543685"/>
                    </a:xfrm>
                    <a:prstGeom prst="rect">
                      <a:avLst/>
                    </a:prstGeom>
                  </pic:spPr>
                </pic:pic>
              </a:graphicData>
            </a:graphic>
          </wp:anchor>
        </w:drawing>
      </w:r>
    </w:p>
    <w:p>
      <w:pPr>
        <w:pStyle w:val="6"/>
        <w:kinsoku w:val="0"/>
        <w:overflowPunct w:val="0"/>
        <w:spacing w:beforeLines="0" w:afterLines="0" w:line="241" w:lineRule="exact"/>
        <w:jc w:val="center"/>
        <w:rPr>
          <w:rFonts w:hint="eastAsia"/>
          <w:sz w:val="21"/>
          <w:szCs w:val="24"/>
        </w:rPr>
      </w:pPr>
      <w:r>
        <w:rPr>
          <w:rFonts w:hint="eastAsia"/>
          <w:sz w:val="21"/>
          <w:szCs w:val="24"/>
        </w:rPr>
        <w:t>1：直尺；2：偏斜度的值</w:t>
      </w:r>
    </w:p>
    <w:p>
      <w:pPr>
        <w:pStyle w:val="6"/>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图1 偏斜度测量示意图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p>
    <w:p>
      <w:pPr>
        <w:pStyle w:val="3"/>
        <w:bidi w:val="0"/>
        <w:rPr>
          <w:rFonts w:hint="default"/>
          <w:lang w:val="en-US" w:eastAsia="zh-CN"/>
        </w:rPr>
      </w:pPr>
      <w:r>
        <w:rPr>
          <w:rFonts w:hint="eastAsia"/>
          <w:lang w:val="en-US" w:eastAsia="zh-CN"/>
        </w:rPr>
        <w:t>6 检验规则</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6.1 组批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检验一批为单位。同配方、同设备、同一工艺生产的同一规格的PET打包带为一批，每批数量不超过300卷（捆）。[QB/T 4010-2010 聚酯打包带 定义6.1]</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6.2抽样方法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在每批产品中，随机取样五卷作为检验样本。[QB/T 4010-2010 聚酯打包带 定义6.2.1]</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6.3检验项目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外观、宽度及偏差、厚度及偏差、拉伸断裂负荷、断裂伸长率、偏斜率。[QB/T 4010-2010 聚酯打包带 定义6.3]</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6.4判定规则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对外观、宽度、厚度、进行检验，若其中一项不合格，则该卷不合格；其他项目如偏斜率、拉伸断裂负荷和拉伸断裂伸长率检验不合格，应双倍抽取样品，对不合格项目进行复检，若复检合格，则该批合格。[QB/T 4010-2010 聚酯打包带 定义6.4]</w:t>
      </w:r>
    </w:p>
    <w:p>
      <w:pPr>
        <w:pStyle w:val="3"/>
        <w:bidi w:val="0"/>
        <w:rPr>
          <w:rFonts w:hint="eastAsia"/>
          <w:lang w:val="en-US" w:eastAsia="zh-CN"/>
        </w:rPr>
      </w:pPr>
      <w:r>
        <w:rPr>
          <w:rFonts w:hint="eastAsia"/>
          <w:lang w:val="en-US" w:eastAsia="zh-CN"/>
        </w:rPr>
        <w:t>7  验收规则</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7.1标志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出厂的PET打包带应有产品合格证。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PET打包带的包装应标有产品名称、执行标准编号、型号、规格、长度、生产日期，以及制造厂名、商标、厂址、电话等。[QB/T 4010-2010 聚酯打包带 定义7.1]</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7.2包装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PET打包带包装应采用纸箱、布袋、牛皮纸袋、塑料袋等材质制作。[QB/T 4010-2010 聚酯打包带 定义7.2]</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7.3运输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PET打包带在运输中应该轻装轻卸，不要抛摔，注意防护，防止机械性损伤。[QB/T 4010-2010 聚酯打包带 定义7.3]</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7.4贮存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PET打包带应贮存于干燥、不受太阳暴晒的场所。产品应距离热源2m以上。自生产日起贮存期限为二年。[QB/T 4010-2010 聚酯打包带 定义7.4]</w:t>
      </w:r>
    </w:p>
    <w:p>
      <w:pPr>
        <w:rPr>
          <w:rFonts w:hint="eastAsia"/>
          <w:lang w:val="en-US" w:eastAsia="zh-CN"/>
        </w:rPr>
      </w:pPr>
    </w:p>
    <w:sectPr>
      <w:pgSz w:w="11906" w:h="16838"/>
      <w:pgMar w:top="522" w:right="658" w:bottom="278"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77E86"/>
    <w:multiLevelType w:val="singleLevel"/>
    <w:tmpl w:val="85D77E86"/>
    <w:lvl w:ilvl="0" w:tentative="0">
      <w:start w:val="1"/>
      <w:numFmt w:val="lowerLetter"/>
      <w:suff w:val="nothing"/>
      <w:lvlText w:val="%1）"/>
      <w:lvlJc w:val="left"/>
    </w:lvl>
  </w:abstractNum>
  <w:abstractNum w:abstractNumId="1">
    <w:nsid w:val="AF30598E"/>
    <w:multiLevelType w:val="singleLevel"/>
    <w:tmpl w:val="AF30598E"/>
    <w:lvl w:ilvl="0" w:tentative="0">
      <w:start w:val="1"/>
      <w:numFmt w:val="lowerLetter"/>
      <w:suff w:val="nothing"/>
      <w:lvlText w:val="%1）"/>
      <w:lvlJc w:val="left"/>
    </w:lvl>
  </w:abstractNum>
  <w:abstractNum w:abstractNumId="2">
    <w:nsid w:val="6FC30E04"/>
    <w:multiLevelType w:val="singleLevel"/>
    <w:tmpl w:val="6FC30E04"/>
    <w:lvl w:ilvl="0" w:tentative="0">
      <w:start w:val="1"/>
      <w:numFmt w:val="decimal"/>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ZGMyNjhkZTczNGIzMGFkYzdhNDFkZTk5MDQxZGQifQ=="/>
  </w:docVars>
  <w:rsids>
    <w:rsidRoot w:val="771471BC"/>
    <w:rsid w:val="07892CFC"/>
    <w:rsid w:val="15332AF2"/>
    <w:rsid w:val="1B132036"/>
    <w:rsid w:val="1D1327C1"/>
    <w:rsid w:val="234073BA"/>
    <w:rsid w:val="25FB26A0"/>
    <w:rsid w:val="2F5E78CC"/>
    <w:rsid w:val="317A0D3B"/>
    <w:rsid w:val="504F7091"/>
    <w:rsid w:val="63EC4411"/>
    <w:rsid w:val="69456D7C"/>
    <w:rsid w:val="6A8D11A8"/>
    <w:rsid w:val="771471BC"/>
    <w:rsid w:val="78C07A52"/>
    <w:rsid w:val="7A45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1"/>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1"/>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1"/>
    <w:pPr>
      <w:spacing w:beforeLines="0" w:afterLines="0"/>
    </w:pPr>
    <w:rPr>
      <w:rFonts w:hint="eastAsia"/>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unhideWhenUsed/>
    <w:qFormat/>
    <w:uiPriority w:val="1"/>
    <w:pPr>
      <w:spacing w:beforeLines="0" w:afterLines="0"/>
      <w:jc w:val="center"/>
    </w:pPr>
    <w:rPr>
      <w:rFonts w:hint="eastAsia"/>
      <w:sz w:val="24"/>
      <w:szCs w:val="24"/>
    </w:rPr>
  </w:style>
  <w:style w:type="paragraph" w:styleId="11">
    <w:name w:val="List Paragraph"/>
    <w:basedOn w:val="1"/>
    <w:unhideWhenUsed/>
    <w:qFormat/>
    <w:uiPriority w:val="1"/>
    <w:pPr>
      <w:spacing w:beforeLines="0" w:afterLines="0"/>
      <w:ind w:left="764" w:hanging="527"/>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1479</Words>
  <Characters>1872</Characters>
  <Lines>0</Lines>
  <Paragraphs>0</Paragraphs>
  <TotalTime>38</TotalTime>
  <ScaleCrop>false</ScaleCrop>
  <LinksUpToDate>false</LinksUpToDate>
  <CharactersWithSpaces>2083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2022-11-29T08:25:00Z</dcterms:created>
  <dc:creator>未挽清歌</dc:creator>
  <cp:lastModifiedBy>未挽清歌</cp:lastModifiedBy>
  <cp:lastPrinted>2023-03-06T08:04:02Z</cp:lastPrinted>
  <dcterms:modified xsi:type="dcterms:W3CDTF">2023-03-06T08:04:06Z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FCF6652C6B40487CB924DA45A282F40E</vt:lpwstr>
  </property>
</Properties>
</file>