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版本：A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60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sz w:val="96"/>
          <w:szCs w:val="96"/>
        </w:rPr>
        <w:t>Q/BK</w:t>
      </w:r>
      <w:r>
        <w:rPr>
          <w:rFonts w:hint="eastAsia" w:ascii="Times New Roman" w:hAnsi="Times New Roman" w:cs="Times New Roman"/>
          <w:sz w:val="96"/>
          <w:szCs w:val="96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sz w:val="52"/>
          <w:szCs w:val="52"/>
        </w:rPr>
        <w:t>广西百矿新材料技术有限公司</w:t>
      </w:r>
      <w:r>
        <w:rPr>
          <w:rFonts w:hint="eastAsia" w:ascii="黑体" w:hAnsi="黑体" w:eastAsia="黑体" w:cs="黑体"/>
          <w:b/>
          <w:bCs/>
          <w:spacing w:val="28"/>
          <w:sz w:val="52"/>
          <w:szCs w:val="52"/>
          <w:lang w:val="en-US" w:eastAsia="zh-CN"/>
        </w:rPr>
        <w:t>技术</w:t>
      </w:r>
      <w:r>
        <w:rPr>
          <w:rFonts w:hint="eastAsia" w:ascii="黑体" w:hAnsi="黑体" w:eastAsia="黑体" w:cs="黑体"/>
          <w:b/>
          <w:bCs/>
          <w:spacing w:val="28"/>
          <w:sz w:val="52"/>
          <w:szCs w:val="52"/>
        </w:rPr>
        <w:t>标准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Q/BK BC0000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—202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insoku w:val="0"/>
        <w:overflowPunct w:val="0"/>
        <w:spacing w:beforeLines="0" w:afterLines="0"/>
        <w:ind w:right="115"/>
        <w:jc w:val="center"/>
        <w:rPr>
          <w:rFonts w:hint="eastAsia" w:ascii="黑体" w:hAnsi="黑体" w:eastAsia="黑体"/>
          <w:sz w:val="52"/>
          <w:szCs w:val="24"/>
        </w:rPr>
      </w:pPr>
      <w:r>
        <w:rPr>
          <w:rFonts w:hint="eastAsia" w:ascii="黑体" w:hAnsi="黑体" w:eastAsia="黑体"/>
          <w:sz w:val="52"/>
          <w:szCs w:val="24"/>
        </w:rPr>
        <w:t>塑料拉伸缠绕膜</w:t>
      </w:r>
    </w:p>
    <w:p>
      <w:pPr>
        <w:pStyle w:val="6"/>
        <w:kinsoku w:val="0"/>
        <w:overflowPunct w:val="0"/>
        <w:spacing w:before="403" w:beforeLines="0" w:afterLines="0"/>
        <w:ind w:right="114"/>
        <w:jc w:val="center"/>
        <w:rPr>
          <w:rFonts w:hint="default" w:ascii="Times New Roman" w:hAnsi="Times New Roman" w:eastAsia="Times New Roman"/>
          <w:sz w:val="28"/>
          <w:szCs w:val="24"/>
        </w:rPr>
      </w:pPr>
      <w:r>
        <w:rPr>
          <w:rFonts w:hint="default" w:ascii="Times New Roman" w:hAnsi="Times New Roman" w:eastAsia="Times New Roman"/>
          <w:sz w:val="28"/>
          <w:szCs w:val="24"/>
        </w:rPr>
        <w:t>Plastic stretching film</w:t>
      </w:r>
    </w:p>
    <w:p>
      <w:pPr>
        <w:tabs>
          <w:tab w:val="left" w:pos="763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3"/>
        </w:tabs>
        <w:bidi w:val="0"/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2023年03月01日发布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2023年03月31日实施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  <w:r>
        <w:rPr>
          <w:rFonts w:hint="eastAsia" w:ascii="黑体" w:hAnsi="黑体" w:eastAsia="黑体"/>
          <w:spacing w:val="41"/>
          <w:w w:val="130"/>
          <w:sz w:val="28"/>
          <w:szCs w:val="24"/>
        </w:rPr>
        <w:t>广西百矿新材料技术有限公司</w:t>
      </w:r>
      <w:r>
        <w:rPr>
          <w:rFonts w:hint="eastAsia" w:ascii="黑体" w:hAnsi="黑体" w:eastAsia="黑体"/>
          <w:w w:val="130"/>
          <w:sz w:val="28"/>
          <w:szCs w:val="24"/>
        </w:rPr>
        <w:tab/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发</w:t>
      </w:r>
      <w:r>
        <w:rPr>
          <w:rFonts w:hint="eastAsia" w:ascii="黑体" w:hAnsi="黑体" w:eastAsia="黑体"/>
          <w:spacing w:val="-7"/>
          <w:w w:val="120"/>
          <w:position w:val="3"/>
          <w:sz w:val="28"/>
          <w:szCs w:val="24"/>
        </w:rPr>
        <w:t xml:space="preserve"> </w:t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布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前</w:t>
      </w:r>
      <w:r>
        <w:rPr>
          <w:rFonts w:hint="eastAsia" w:ascii="黑体" w:hAnsi="黑体" w:eastAsia="黑体"/>
          <w:sz w:val="32"/>
          <w:szCs w:val="24"/>
        </w:rPr>
        <w:tab/>
      </w:r>
      <w:r>
        <w:rPr>
          <w:rFonts w:hint="eastAsia" w:ascii="黑体" w:hAnsi="黑体" w:eastAsia="黑体"/>
          <w:sz w:val="32"/>
          <w:szCs w:val="24"/>
        </w:rPr>
        <w:t>言</w:t>
      </w: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left"/>
        <w:rPr>
          <w:rFonts w:hint="eastAsi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本标准按照GB/T 1.1—2009给出的规则起草。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本标准由技术质量处提出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本标准由技术质量处归口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本标准负责起草单位：技术质量处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本标准起草人：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default" w:ascii="黑体" w:hAnsi="黑体" w:eastAsia="黑体"/>
          <w:w w:val="120"/>
          <w:position w:val="3"/>
          <w:sz w:val="28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5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4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批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准</w:t>
            </w:r>
          </w:p>
        </w:tc>
        <w:tc>
          <w:tcPr>
            <w:tcW w:w="589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03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标准化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2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审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核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0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编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制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63"/>
        </w:tabs>
        <w:bidi w:val="0"/>
        <w:jc w:val="center"/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</w:pPr>
    </w:p>
    <w:p>
      <w:pPr>
        <w:tabs>
          <w:tab w:val="left" w:pos="1663"/>
        </w:tabs>
        <w:bidi w:val="0"/>
        <w:jc w:val="center"/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  <w:t>塑料拉伸缠绕膜</w:t>
      </w:r>
    </w:p>
    <w:p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本标准规定了进厂塑料缠绕膜的检验标准，适用于产品包装用缠绕膜的验收。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 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BB/T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0024-2018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运输包装用拉伸缠绕膜行业标准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1037-2021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塑料薄膜和片材透水蒸汽性实验方法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2410-2008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透明塑料透光率和雾度实验方法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6672-2001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塑料薄膜和薄片厚度的测定机械测量方法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13022-1991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塑料薄膜拉伸性能试验方法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 技术要求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3.1尺寸及规格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根据产品特点及运输方式要求，规定允许使用的塑料薄膜为聚乙烯(PE)或低密度聚乙烯（C6-LLDPE或C8-LLDPE）吹塑薄膜。</w:t>
      </w:r>
    </w:p>
    <w:p>
      <w:pPr>
        <w:keepNext w:val="0"/>
        <w:keepLines w:val="0"/>
        <w:pageBreakBefore w:val="0"/>
        <w:widowControl w:val="0"/>
        <w:tabs>
          <w:tab w:val="left" w:pos="3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表 1缠绕膜的尺寸规格（GB/T 6672-2001）</w:t>
      </w:r>
    </w:p>
    <w:tbl>
      <w:tblPr>
        <w:tblStyle w:val="8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948"/>
        <w:gridCol w:w="1920"/>
        <w:gridCol w:w="211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厚度mm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宽度mm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每卷重量kg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卷芯长度mm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卷芯内径mm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0.015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0.030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510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塑料拉伸缠绕膜的尺寸见表1。宽度偏差允许±6 mm；厚度偏差为任一测量点厚度不允许超过标称厚度的±15%，平均测量厚度不允许超过标称厚度的±10%；卷芯长度偏差0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~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3mm，卷芯内径偏差±2 mm；机用单卷膜质量（膜净重）偏差不允许超过标称质量的±2%。</w:t>
      </w:r>
    </w:p>
    <w:p>
      <w:pPr>
        <w:pStyle w:val="5"/>
        <w:bidi w:val="0"/>
        <w:rPr>
          <w:rFonts w:hint="eastAsia" w:ascii="黑体" w:hAnsi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黑体" w:hAnsi="黑体" w:cs="黑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外观</w:t>
      </w:r>
      <w:r>
        <w:rPr>
          <w:rFonts w:hint="eastAsia" w:ascii="黑体" w:hAnsi="黑体" w:cs="黑体"/>
          <w:b w:val="0"/>
          <w:bCs/>
          <w:sz w:val="30"/>
          <w:szCs w:val="30"/>
          <w:lang w:val="en-US" w:eastAsia="zh-CN"/>
        </w:rPr>
        <w:t>要求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表2</w:t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>外观要求（BB/T 0024-2018）</w:t>
      </w:r>
    </w:p>
    <w:tbl>
      <w:tblPr>
        <w:tblStyle w:val="7"/>
        <w:tblW w:w="0" w:type="auto"/>
        <w:tblInd w:w="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340"/>
        <w:gridCol w:w="4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950" w:right="23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项目</w:t>
            </w:r>
          </w:p>
        </w:tc>
        <w:tc>
          <w:tcPr>
            <w:tcW w:w="431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24" w:right="556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外观要求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3" w:beforeLines="0" w:afterLines="0"/>
              <w:ind w:left="1950" w:right="23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断头</w:t>
            </w:r>
          </w:p>
        </w:tc>
        <w:tc>
          <w:tcPr>
            <w:tcW w:w="43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3" w:beforeLines="0" w:afterLines="0"/>
              <w:ind w:left="123" w:right="55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不允许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4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气泡、穿孔、破裂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23" w:right="55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不允许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4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950" w:right="23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僵块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23" w:right="55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不允许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Lines="0" w:afterLines="0"/>
              <w:jc w:val="center"/>
              <w:rPr>
                <w:rFonts w:hint="eastAsia" w:ascii="黑体" w:hAnsi="黑体" w:eastAsia="黑体"/>
                <w:sz w:val="22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before="150" w:beforeLines="0" w:afterLines="0"/>
              <w:ind w:left="17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鱼眼（个/m</w:t>
            </w:r>
            <w:r>
              <w:rPr>
                <w:rFonts w:hint="eastAsia"/>
                <w:position w:val="11"/>
                <w:sz w:val="11"/>
                <w:szCs w:val="24"/>
              </w:rPr>
              <w:t>2</w:t>
            </w:r>
            <w:r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3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3" w:beforeLines="0" w:afterLines="0"/>
              <w:ind w:left="108" w:right="54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&gt;0.6 mm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3" w:beforeLines="0" w:afterLines="0"/>
              <w:ind w:left="123" w:right="55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不允许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2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" w:beforeLines="0" w:afterLines="0"/>
              <w:jc w:val="center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3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705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0.3 mm～0.6 mm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41" w:beforeLines="0" w:afterLines="0"/>
              <w:ind w:left="124" w:right="558"/>
              <w:jc w:val="center"/>
              <w:rPr>
                <w:rFonts w:hint="eastAsia"/>
                <w:position w:val="11"/>
                <w:sz w:val="1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≤7个/m</w:t>
            </w:r>
            <w:r>
              <w:rPr>
                <w:rFonts w:hint="eastAsia"/>
                <w:position w:val="11"/>
                <w:sz w:val="11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02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0" w:beforeLines="0" w:afterLines="0"/>
              <w:jc w:val="center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3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08" w:right="551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分散度[个/(10 cm×10 cm)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23" w:right="55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≤4个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4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1" w:beforeLines="0" w:afterLines="0"/>
              <w:ind w:right="23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4"/>
              </w:rPr>
              <w:t>平整度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51" w:beforeLines="0" w:afterLines="0"/>
              <w:ind w:left="124" w:right="558"/>
              <w:jc w:val="left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薄膜表面基本平整,允许有轻微的活褶,膜卷端面平整</w:t>
            </w:r>
            <w:r>
              <w:rPr>
                <w:rFonts w:hint="eastAsia"/>
                <w:sz w:val="21"/>
                <w:szCs w:val="24"/>
                <w:lang w:eastAsia="zh-CN"/>
              </w:rPr>
              <w:t>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平整度《1mm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5"/>
        <w:bidi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黑体" w:hAnsi="黑体" w:cs="黑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物理性能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表3</w:t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>物理性能要求</w:t>
      </w:r>
    </w:p>
    <w:tbl>
      <w:tblPr>
        <w:tblStyle w:val="7"/>
        <w:tblW w:w="0" w:type="auto"/>
        <w:tblInd w:w="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7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77" w:beforeLines="0" w:afterLines="0"/>
              <w:ind w:left="2370" w:right="28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项目</w:t>
            </w:r>
          </w:p>
        </w:tc>
        <w:tc>
          <w:tcPr>
            <w:tcW w:w="368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77" w:beforeLines="0" w:afterLines="0"/>
              <w:ind w:left="1190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0" w:beforeLines="0" w:afterLines="0"/>
              <w:jc w:val="left"/>
              <w:rPr>
                <w:rFonts w:hint="eastAsia" w:ascii="黑体" w:hAnsi="黑体" w:eastAsia="黑体"/>
                <w:sz w:val="23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beforeLines="0" w:afterLines="0"/>
              <w:ind w:left="757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拉断力/N</w:t>
            </w:r>
          </w:p>
        </w:tc>
        <w:tc>
          <w:tcPr>
            <w:tcW w:w="283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77" w:beforeLines="0" w:afterLines="0"/>
              <w:ind w:left="697" w:right="11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纵向</w:t>
            </w:r>
          </w:p>
        </w:tc>
        <w:tc>
          <w:tcPr>
            <w:tcW w:w="36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77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4"/>
              </w:rPr>
              <w:t>.0 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9" w:beforeLines="0" w:afterLines="0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697" w:right="11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横向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5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4"/>
              </w:rPr>
              <w:t>.0 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5" w:beforeLines="0" w:afterLines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beforeLines="0" w:afterLines="0"/>
              <w:ind w:left="496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断裂伸长率(%)</w:t>
            </w: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697" w:right="11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纵向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5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9" w:beforeLines="0" w:afterLines="0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2" w:beforeLines="0" w:afterLines="0"/>
              <w:ind w:left="697" w:right="11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横向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2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" w:beforeLines="0" w:afterLines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beforeLines="0" w:afterLines="0"/>
              <w:ind w:left="863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粘性/N</w:t>
            </w: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2" w:beforeLines="0" w:afterLines="0"/>
              <w:ind w:left="697" w:right="11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未拉伸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2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9" w:beforeLines="0" w:afterLines="0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697" w:right="113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拉伸100%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5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抗刺穿</w:t>
            </w: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697" w:right="113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破裂力/N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5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9" w:beforeLines="0" w:afterLines="0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697" w:right="113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延伸量/mm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85" w:beforeLines="0"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70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透光率(%)</w:t>
            </w:r>
          </w:p>
        </w:tc>
        <w:tc>
          <w:tcPr>
            <w:tcW w:w="6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5" w:beforeLines="0" w:afterLines="0"/>
              <w:ind w:left="187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2" w:beforeLines="0" w:afterLines="0"/>
              <w:ind w:left="810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雾度(%)</w:t>
            </w:r>
          </w:p>
        </w:tc>
        <w:tc>
          <w:tcPr>
            <w:tcW w:w="6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2" w:beforeLines="0" w:afterLines="0"/>
              <w:ind w:left="1823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≤1.7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72" w:beforeLines="0" w:afterLines="0"/>
              <w:ind w:left="390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水蒸气透过(g/m</w:t>
            </w:r>
            <w:r>
              <w:rPr>
                <w:rFonts w:hint="eastAsia"/>
                <w:position w:val="11"/>
                <w:sz w:val="11"/>
                <w:szCs w:val="24"/>
              </w:rPr>
              <w:t>2</w:t>
            </w:r>
            <w:r>
              <w:rPr>
                <w:rFonts w:hint="eastAsia"/>
                <w:sz w:val="21"/>
                <w:szCs w:val="24"/>
              </w:rPr>
              <w:t>.24h)</w:t>
            </w:r>
          </w:p>
        </w:tc>
        <w:tc>
          <w:tcPr>
            <w:tcW w:w="6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82" w:beforeLines="0" w:afterLines="0"/>
              <w:ind w:left="1823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≤18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val="en-US" w:eastAsia="zh-CN"/>
        </w:rPr>
        <w:t xml:space="preserve">  检查和验收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按照 GB/T 6672-2001、GB/T 13022-1991、GB/T 1037-2021、GB/T 2410-2008规定的方法检查和验收, 并审查其标志、包装情况，审查其产品质量证明书。</w:t>
      </w:r>
    </w:p>
    <w:sectPr>
      <w:pgSz w:w="11906" w:h="16838"/>
      <w:pgMar w:top="522" w:right="658" w:bottom="278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30E04"/>
    <w:multiLevelType w:val="singleLevel"/>
    <w:tmpl w:val="6FC30E04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GMyNjhkZTczNGIzMGFkYzdhNDFkZTk5MDQxZGQifQ=="/>
  </w:docVars>
  <w:rsids>
    <w:rsidRoot w:val="00172A27"/>
    <w:rsid w:val="07892CFC"/>
    <w:rsid w:val="182F0BA0"/>
    <w:rsid w:val="23623653"/>
    <w:rsid w:val="3C2E1570"/>
    <w:rsid w:val="46D57551"/>
    <w:rsid w:val="504F7091"/>
    <w:rsid w:val="63EC4411"/>
    <w:rsid w:val="6BC009EB"/>
    <w:rsid w:val="771471BC"/>
    <w:rsid w:val="7A4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  <w:style w:type="paragraph" w:styleId="11">
    <w:name w:val="List Paragraph"/>
    <w:basedOn w:val="1"/>
    <w:unhideWhenUsed/>
    <w:qFormat/>
    <w:uiPriority w:val="1"/>
    <w:pPr>
      <w:spacing w:beforeLines="0" w:afterLines="0"/>
      <w:ind w:left="764" w:hanging="527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1110</Characters>
  <Lines>0</Lines>
  <Paragraphs>0</Paragraphs>
  <TotalTime>3201</TotalTime>
  <ScaleCrop>false</ScaleCrop>
  <LinksUpToDate>false</LinksUpToDate>
  <CharactersWithSpaces>1310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2022-11-29T08:25:00Z</dcterms:created>
  <dc:creator>未挽清歌</dc:creator>
  <cp:lastModifiedBy>未挽清歌</cp:lastModifiedBy>
  <cp:lastPrinted>2023-03-17T00:49:48Z</cp:lastPrinted>
  <dcterms:modified xsi:type="dcterms:W3CDTF">2023-03-17T00:49:54Z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F5C06CB8C529433A91A2E16C5EAB5A98</vt:lpwstr>
  </property>
</Properties>
</file>