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广西百矿铝业有限公司2023年度双梁天车遥控器系统改造项目</w:t>
      </w:r>
      <w:r>
        <w:rPr>
          <w:rFonts w:hint="eastAsia" w:ascii="微软雅黑" w:hAnsi="微软雅黑" w:eastAsia="微软雅黑" w:cs="微软雅黑"/>
          <w:b/>
          <w:color w:val="auto"/>
          <w:sz w:val="36"/>
          <w:szCs w:val="36"/>
          <w:highlight w:val="none"/>
        </w:rPr>
        <w:t>招标</w:t>
      </w:r>
      <w:r>
        <w:rPr>
          <w:rFonts w:hint="eastAsia" w:ascii="微软雅黑" w:hAnsi="微软雅黑" w:eastAsia="微软雅黑" w:cs="微软雅黑"/>
          <w:b/>
          <w:color w:val="auto"/>
          <w:sz w:val="36"/>
          <w:szCs w:val="36"/>
          <w:highlight w:val="none"/>
          <w:lang w:val="en-US" w:eastAsia="zh-CN"/>
        </w:rPr>
        <w:t>补充</w:t>
      </w:r>
      <w:r>
        <w:rPr>
          <w:rFonts w:hint="eastAsia" w:ascii="微软雅黑" w:hAnsi="微软雅黑" w:eastAsia="微软雅黑" w:cs="微软雅黑"/>
          <w:b/>
          <w:color w:val="auto"/>
          <w:sz w:val="36"/>
          <w:szCs w:val="36"/>
          <w:highlight w:val="none"/>
        </w:rPr>
        <w:t>公告</w:t>
      </w:r>
    </w:p>
    <w:p>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宋体"/>
          <w:color w:val="auto"/>
          <w:kern w:val="0"/>
          <w:sz w:val="24"/>
          <w:szCs w:val="24"/>
        </w:rPr>
        <w:t>设备类-</w:t>
      </w:r>
      <w:r>
        <w:rPr>
          <w:rFonts w:hint="eastAsia" w:ascii="微软雅黑" w:hAnsi="微软雅黑" w:eastAsia="微软雅黑" w:cs="宋体"/>
          <w:color w:val="auto"/>
          <w:kern w:val="0"/>
          <w:sz w:val="24"/>
          <w:szCs w:val="24"/>
          <w:lang w:eastAsia="zh-CN"/>
        </w:rPr>
        <w:t>其他</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eastAsia="zh-CN"/>
        </w:rPr>
        <w:t>广西百矿铝业有限公司2023年度双梁天车遥控器系统改造项目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bookmarkStart w:id="0" w:name="_GoBack"/>
      <w:bookmarkEnd w:id="0"/>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sz w:val="24"/>
          <w:lang w:eastAsia="zh-CN"/>
        </w:rPr>
      </w:pPr>
      <w:r>
        <w:rPr>
          <w:rFonts w:hint="eastAsia" w:ascii="微软雅黑" w:hAnsi="微软雅黑" w:eastAsia="微软雅黑" w:cs="微软雅黑"/>
          <w:color w:val="auto"/>
          <w:sz w:val="24"/>
          <w:szCs w:val="24"/>
          <w:lang w:val="en-US" w:eastAsia="zh-CN"/>
        </w:rPr>
        <w:t>吉利百矿集团电解铝业务部下辖广西百矿铝业有限公司位于百色市田阳区头塘镇百色新山铝产业示范园内。广西百矿铝业有限公司</w:t>
      </w:r>
      <w:r>
        <w:rPr>
          <w:rFonts w:hint="eastAsia" w:ascii="微软雅黑" w:hAnsi="微软雅黑" w:eastAsia="微软雅黑" w:cs="微软雅黑"/>
          <w:sz w:val="24"/>
          <w:lang w:eastAsia="zh-CN"/>
        </w:rPr>
        <w:t>一分厂电解车间的 6 台绝缘双梁天车，因电气元器件衰损、老化，对生产造成严重影响。为确保广西百矿铝业有限公司的正常生产运营，现计划对广西百矿铝业有限公司2023年度双梁天车遥控器系统改造项目进行招标。欢迎有实力的单位参与此次招标活动。</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2.2招标范围：</w:t>
      </w:r>
    </w:p>
    <w:tbl>
      <w:tblPr>
        <w:tblStyle w:val="11"/>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298"/>
        <w:gridCol w:w="3102"/>
        <w:gridCol w:w="780"/>
        <w:gridCol w:w="8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序号</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分项名称</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规格型号</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单位</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数量</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1</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工业无线遥控器</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TCS-C64BN/BS，摇杆式遥控器，包含遥控器、接收器、智能钥匙等全套设备</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套</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品牌：欧姆TCS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2</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DP通讯模块</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订货号6GK7 342-5DA03-0XE0 </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套</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与遥控器、PLC 6ES7 314-1AG14-0AB0匹配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3</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网关</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AB7301,带CANopen、PROFIBUS接口</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个</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Anybus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4</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耐高温电缆</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批</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6 </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包括多种规格电缆；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5</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电气元件</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批</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 xml:space="preserve">6 </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与整机匹配;</w:t>
            </w:r>
          </w:p>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品牌要求：施耐德、西门子、ABB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298"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both"/>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系统程序设计升级</w:t>
            </w:r>
          </w:p>
        </w:tc>
        <w:tc>
          <w:tcPr>
            <w:tcW w:w="3102"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w:t>
            </w:r>
          </w:p>
        </w:tc>
        <w:tc>
          <w:tcPr>
            <w:tcW w:w="780"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台</w:t>
            </w:r>
          </w:p>
        </w:tc>
        <w:tc>
          <w:tcPr>
            <w:tcW w:w="814"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center"/>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6</w:t>
            </w:r>
          </w:p>
        </w:tc>
        <w:tc>
          <w:tcPr>
            <w:tcW w:w="2751" w:type="dxa"/>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eastAsia" w:ascii="微软雅黑" w:hAnsi="微软雅黑" w:eastAsia="微软雅黑" w:cs="微软雅黑"/>
                <w:kern w:val="2"/>
                <w:sz w:val="24"/>
                <w:szCs w:val="22"/>
                <w:lang w:val="en-US" w:eastAsia="zh-CN" w:bidi="ar-SA"/>
              </w:rPr>
            </w:pPr>
            <w:r>
              <w:rPr>
                <w:rFonts w:hint="eastAsia" w:ascii="微软雅黑" w:hAnsi="微软雅黑" w:eastAsia="微软雅黑" w:cs="微软雅黑"/>
                <w:kern w:val="2"/>
                <w:sz w:val="24"/>
                <w:szCs w:val="22"/>
                <w:lang w:val="en-US" w:eastAsia="zh-CN" w:bidi="ar-SA"/>
              </w:rPr>
              <w:t>与整机匹配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5" w:type="dxa"/>
            <w:gridSpan w:val="6"/>
            <w:noWrap w:val="0"/>
            <w:vAlign w:val="center"/>
          </w:tcPr>
          <w:p>
            <w:pPr>
              <w:pStyle w:val="31"/>
              <w:keepNext w:val="0"/>
              <w:keepLines w:val="0"/>
              <w:pageBreakBefore w:val="0"/>
              <w:widowControl w:val="0"/>
              <w:kinsoku/>
              <w:wordWrap/>
              <w:overflowPunct/>
              <w:topLinePunct w:val="0"/>
              <w:autoSpaceDE/>
              <w:autoSpaceDN/>
              <w:bidi w:val="0"/>
              <w:adjustRightInd/>
              <w:snapToGrid w:val="0"/>
              <w:spacing w:beforeLines="0" w:afterLines="0" w:line="240" w:lineRule="atLeast"/>
              <w:jc w:val="left"/>
              <w:textAlignment w:val="auto"/>
              <w:rPr>
                <w:rFonts w:hint="default" w:ascii="微软雅黑" w:hAnsi="微软雅黑" w:eastAsia="微软雅黑" w:cs="微软雅黑"/>
                <w:kern w:val="2"/>
                <w:sz w:val="24"/>
                <w:szCs w:val="22"/>
                <w:lang w:val="en-US" w:eastAsia="zh-CN" w:bidi="ar-SA"/>
              </w:rPr>
            </w:pPr>
            <w:r>
              <w:rPr>
                <w:rFonts w:hint="eastAsia" w:ascii="微软雅黑" w:hAnsi="微软雅黑" w:eastAsia="微软雅黑" w:cs="微软雅黑"/>
                <w:b/>
                <w:bCs/>
                <w:kern w:val="2"/>
                <w:sz w:val="24"/>
                <w:szCs w:val="22"/>
                <w:lang w:val="en-US" w:eastAsia="zh-CN" w:bidi="ar-SA"/>
              </w:rPr>
              <w:t>含安装、调试。</w:t>
            </w:r>
          </w:p>
        </w:tc>
      </w:tr>
    </w:tbl>
    <w:p>
      <w:pPr>
        <w:spacing w:line="440" w:lineRule="exact"/>
        <w:rPr>
          <w:rFonts w:hint="eastAsia" w:ascii="微软雅黑" w:hAnsi="微软雅黑" w:eastAsia="微软雅黑" w:cs="微软雅黑"/>
          <w:b/>
          <w:sz w:val="24"/>
          <w:szCs w:val="24"/>
          <w:highlight w:val="none"/>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3.投标人资格要求</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本次招标要求投标人具备以下资质。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具有竞标规格及以上相应或相似条件下，近</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年在国内不少于</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lang w:val="en-US" w:eastAsia="zh-CN"/>
        </w:rPr>
        <w:t>个类似业绩</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注：</w:t>
      </w:r>
      <w:r>
        <w:rPr>
          <w:rFonts w:hint="eastAsia" w:ascii="微软雅黑" w:hAnsi="微软雅黑" w:eastAsia="微软雅黑" w:cs="微软雅黑"/>
          <w:bCs/>
          <w:sz w:val="24"/>
          <w:szCs w:val="24"/>
          <w:highlight w:val="none"/>
          <w:lang w:eastAsia="zh-CN"/>
        </w:rPr>
        <w:t>以上业绩须附列表及对应列表的合同原件扫描件。合同原件扫描件含首尾页、供货设备规格型号的供货清单、签字盖章页，否则按无效业绩处理。</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具有良好的商业信誉和健全的财务会计制度。</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6</w:t>
      </w:r>
      <w:r>
        <w:rPr>
          <w:rFonts w:hint="eastAsia" w:ascii="微软雅黑" w:hAnsi="微软雅黑" w:eastAsia="微软雅黑" w:cs="微软雅黑"/>
          <w:bCs/>
          <w:sz w:val="24"/>
          <w:szCs w:val="24"/>
          <w:highlight w:val="none"/>
        </w:rPr>
        <w:t>本次招标不接受联合体投标。</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3.7</w:t>
      </w:r>
      <w:r>
        <w:rPr>
          <w:rFonts w:hint="eastAsia" w:ascii="微软雅黑" w:hAnsi="微软雅黑" w:eastAsia="微软雅黑" w:cs="微软雅黑"/>
          <w:bCs/>
          <w:sz w:val="24"/>
          <w:szCs w:val="24"/>
          <w:highlight w:val="none"/>
        </w:rPr>
        <w:t>次招标不接受</w:t>
      </w:r>
      <w:r>
        <w:rPr>
          <w:rFonts w:hint="eastAsia" w:ascii="微软雅黑" w:hAnsi="微软雅黑" w:eastAsia="微软雅黑" w:cs="微软雅黑"/>
          <w:bCs/>
          <w:sz w:val="24"/>
          <w:szCs w:val="24"/>
          <w:highlight w:val="none"/>
          <w:lang w:eastAsia="zh-CN"/>
        </w:rPr>
        <w:t>分包</w:t>
      </w:r>
      <w:r>
        <w:rPr>
          <w:rFonts w:hint="eastAsia" w:ascii="微软雅黑" w:hAnsi="微软雅黑" w:eastAsia="微软雅黑" w:cs="微软雅黑"/>
          <w:bCs/>
          <w:sz w:val="24"/>
          <w:szCs w:val="24"/>
          <w:highlight w:val="none"/>
        </w:rPr>
        <w:t>。</w:t>
      </w:r>
    </w:p>
    <w:p>
      <w:pPr>
        <w:pStyle w:val="2"/>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4.1报名方式</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4.1.1 *凡有意参加报名的投标人，请至吉利控股集团招标采购平台</w:t>
      </w:r>
      <w:r>
        <w:rPr>
          <w:rStyle w:val="13"/>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w:t>
      </w:r>
      <w:r>
        <w:rPr>
          <w:rStyle w:val="13"/>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 *报名截止时间：20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07</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26</w:t>
      </w:r>
      <w:r>
        <w:rPr>
          <w:rFonts w:hint="eastAsia" w:ascii="微软雅黑" w:hAnsi="微软雅黑" w:eastAsia="微软雅黑" w:cs="微软雅黑"/>
          <w:bCs/>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4.2报名资料</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三证合一的营业执照副本；</w:t>
      </w:r>
      <w:r>
        <w:rPr>
          <w:rFonts w:hint="eastAsia" w:ascii="微软雅黑" w:hAnsi="微软雅黑" w:eastAsia="微软雅黑" w:cs="微软雅黑"/>
          <w:bCs/>
          <w:sz w:val="24"/>
          <w:szCs w:val="24"/>
          <w:lang w:val="en-US" w:eastAsia="zh-CN"/>
        </w:rPr>
        <w:tab/>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近三年的第三方审计财务报告或税务系统下载的财务申报资料（含资产负债表、现金流量表、利润表）</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4.3提交材料要求</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c、合同扫描件请命名：XXXX公司+与XXXX公司合作合同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，如：</w:t>
      </w:r>
      <w:r>
        <w:rPr>
          <w:rFonts w:hint="eastAsia" w:ascii="微软雅黑" w:hAnsi="微软雅黑" w:eastAsia="微软雅黑" w:cs="微软雅黑"/>
          <w:bCs/>
          <w:sz w:val="24"/>
          <w:szCs w:val="24"/>
          <w:highlight w:val="none"/>
          <w:lang w:eastAsia="zh-CN"/>
        </w:rPr>
        <w:t>百色百矿发电有限公司</w:t>
      </w:r>
      <w:r>
        <w:rPr>
          <w:rFonts w:hint="eastAsia" w:ascii="微软雅黑" w:hAnsi="微软雅黑" w:eastAsia="微软雅黑" w:cs="微软雅黑"/>
          <w:bCs/>
          <w:sz w:val="24"/>
          <w:szCs w:val="24"/>
          <w:highlight w:val="none"/>
        </w:rPr>
        <w:t>+与</w:t>
      </w:r>
      <w:r>
        <w:rPr>
          <w:rFonts w:hint="eastAsia" w:ascii="微软雅黑" w:hAnsi="微软雅黑" w:eastAsia="微软雅黑" w:cs="微软雅黑"/>
          <w:bCs/>
          <w:sz w:val="24"/>
          <w:szCs w:val="24"/>
          <w:highlight w:val="none"/>
          <w:lang w:eastAsia="zh-CN"/>
        </w:rPr>
        <w:t>广西百色银海发电有限</w:t>
      </w:r>
      <w:r>
        <w:rPr>
          <w:rFonts w:hint="eastAsia" w:ascii="微软雅黑" w:hAnsi="微软雅黑" w:eastAsia="微软雅黑" w:cs="微软雅黑"/>
          <w:bCs/>
          <w:sz w:val="24"/>
          <w:szCs w:val="24"/>
          <w:highlight w:val="none"/>
        </w:rPr>
        <w:t>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highlight w:val="none"/>
        </w:rPr>
      </w:pPr>
      <w:r>
        <w:rPr>
          <w:rFonts w:hint="eastAsia" w:ascii="微软雅黑" w:hAnsi="微软雅黑" w:eastAsia="微软雅黑" w:cs="微软雅黑"/>
          <w:bCs/>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sz w:val="24"/>
          <w:szCs w:val="24"/>
          <w:highlight w:val="none"/>
        </w:rPr>
        <w:t>报名资料需在报名截止时间前上传，逾期报名无效。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5.招标文件的获取</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5.1报名截止后，对所有报名单位进行资格初审，初审合格后购买招标文件；</w:t>
      </w:r>
    </w:p>
    <w:p>
      <w:pPr>
        <w:spacing w:line="440" w:lineRule="exact"/>
        <w:rPr>
          <w:rFonts w:hint="eastAsia" w:ascii="微软雅黑" w:hAnsi="微软雅黑" w:eastAsia="微软雅黑" w:cs="微软雅黑"/>
          <w:bCs/>
          <w:color w:val="FF0000"/>
          <w:sz w:val="24"/>
          <w:szCs w:val="24"/>
          <w:highlight w:val="none"/>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rPr>
        <w:t>元，售后不退；</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6.发布公告的媒介</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本次招标公告只在吉利控股集团招标采购平台</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zb.geely.com上发布，其他媒体转载无效。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7.联系方式</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招标人：</w:t>
      </w:r>
      <w:r>
        <w:rPr>
          <w:rFonts w:hint="eastAsia" w:ascii="微软雅黑" w:hAnsi="微软雅黑" w:eastAsia="微软雅黑" w:cs="微软雅黑"/>
          <w:bCs/>
          <w:sz w:val="24"/>
          <w:szCs w:val="24"/>
          <w:highlight w:val="none"/>
          <w:lang w:eastAsia="zh-CN"/>
        </w:rPr>
        <w:t>广西百矿铝业有限公司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eastAsia="zh-CN"/>
        </w:rPr>
        <w:t>招标单位</w:t>
      </w:r>
      <w:r>
        <w:rPr>
          <w:rFonts w:hint="eastAsia" w:ascii="微软雅黑" w:hAnsi="微软雅黑" w:eastAsia="微软雅黑" w:cs="微软雅黑"/>
          <w:bCs/>
          <w:sz w:val="24"/>
          <w:szCs w:val="24"/>
          <w:highlight w:val="none"/>
        </w:rPr>
        <w:t>地址：百色市田阳区头塘镇百色新山铝产业示范园</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auto"/>
          <w:sz w:val="24"/>
          <w:szCs w:val="24"/>
          <w:highlight w:val="none"/>
          <w:lang w:val="en-US" w:eastAsia="zh-CN"/>
        </w:rPr>
        <w:t>招标组织单位：吉利百矿集团有限公司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开标地址：</w:t>
      </w:r>
      <w:r>
        <w:rPr>
          <w:rFonts w:hint="eastAsia" w:ascii="微软雅黑" w:hAnsi="微软雅黑" w:eastAsia="微软雅黑" w:cs="微软雅黑"/>
          <w:bCs/>
          <w:sz w:val="24"/>
          <w:szCs w:val="24"/>
          <w:highlight w:val="none"/>
          <w:lang w:val="en-US" w:eastAsia="zh-CN"/>
        </w:rPr>
        <w:t>广西百色市右江区东增路188号吉利百矿集团有限公司开标室</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w:t>
      </w:r>
      <w:r>
        <w:rPr>
          <w:rFonts w:hint="eastAsia" w:ascii="微软雅黑" w:hAnsi="微软雅黑" w:eastAsia="微软雅黑" w:cs="微软雅黑"/>
          <w:bCs/>
          <w:sz w:val="24"/>
          <w:szCs w:val="24"/>
          <w:highlight w:val="none"/>
          <w:lang w:val="en-US" w:eastAsia="zh-CN"/>
        </w:rPr>
        <w:t>533099</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技术：农金明  手机号：13977630590  E-mail:Jinming.Nong@geely.com</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收款单位名称：吉利百矿集团有限公司</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开户行：建设银行百色中山支行</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
          <w:bCs w:val="0"/>
          <w:sz w:val="24"/>
          <w:szCs w:val="24"/>
          <w:highlight w:val="none"/>
        </w:rPr>
        <w:t>帐号：45001676114050702700</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注：无论投标结果如何，投标人自行承担所有与参加投标活动有关的全部费用。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投诉、举报电话：0571-28098168（供应链管理部）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color w:val="auto"/>
          <w:sz w:val="24"/>
          <w:szCs w:val="24"/>
          <w:highlight w:val="none"/>
          <w:lang w:val="en-US" w:eastAsia="zh-CN"/>
        </w:rPr>
        <w:t>吉利百矿集团有限公司</w:t>
      </w:r>
    </w:p>
    <w:p>
      <w:pPr>
        <w:spacing w:line="440" w:lineRule="exact"/>
        <w:ind w:firstLine="480" w:firstLineChars="200"/>
        <w:jc w:val="right"/>
        <w:rPr>
          <w:rFonts w:hint="eastAsia" w:ascii="微软雅黑" w:hAnsi="微软雅黑" w:eastAsia="微软雅黑" w:cs="微软雅黑"/>
          <w:highlight w:val="none"/>
          <w:lang w:eastAsia="zh-CN"/>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07</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24</w:t>
      </w:r>
      <w:r>
        <w:rPr>
          <w:rFonts w:hint="eastAsia" w:ascii="微软雅黑" w:hAnsi="微软雅黑" w:eastAsia="微软雅黑" w:cs="微软雅黑"/>
          <w:bCs/>
          <w:sz w:val="24"/>
          <w:szCs w:val="24"/>
          <w:highlight w:val="none"/>
        </w:rPr>
        <w:t xml:space="preserve">日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04CDA"/>
    <w:multiLevelType w:val="singleLevel"/>
    <w:tmpl w:val="F3504CDA"/>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Dc0NDE5NjE1YWFmMWRjOGFhNzA2OTYzNzZmNTAifQ=="/>
  </w:docVars>
  <w:rsids>
    <w:rsidRoot w:val="00172A27"/>
    <w:rsid w:val="00045F8B"/>
    <w:rsid w:val="001D7D8F"/>
    <w:rsid w:val="00853475"/>
    <w:rsid w:val="01145609"/>
    <w:rsid w:val="013E61E2"/>
    <w:rsid w:val="0176292B"/>
    <w:rsid w:val="01F514E4"/>
    <w:rsid w:val="02186A33"/>
    <w:rsid w:val="024D2111"/>
    <w:rsid w:val="02557C87"/>
    <w:rsid w:val="02B046A6"/>
    <w:rsid w:val="02B510FA"/>
    <w:rsid w:val="02B75FD8"/>
    <w:rsid w:val="02FB4A5D"/>
    <w:rsid w:val="03261624"/>
    <w:rsid w:val="03391357"/>
    <w:rsid w:val="035809D3"/>
    <w:rsid w:val="036000C3"/>
    <w:rsid w:val="03822CFE"/>
    <w:rsid w:val="03CF73B2"/>
    <w:rsid w:val="047B2B1B"/>
    <w:rsid w:val="04B97278"/>
    <w:rsid w:val="05187315"/>
    <w:rsid w:val="055867A9"/>
    <w:rsid w:val="065B3392"/>
    <w:rsid w:val="08066011"/>
    <w:rsid w:val="08294F11"/>
    <w:rsid w:val="08E6448C"/>
    <w:rsid w:val="092B7632"/>
    <w:rsid w:val="09D53AAE"/>
    <w:rsid w:val="0A4A209B"/>
    <w:rsid w:val="0AB2474C"/>
    <w:rsid w:val="0AFA0912"/>
    <w:rsid w:val="0B1D3D7C"/>
    <w:rsid w:val="0C55174C"/>
    <w:rsid w:val="0C75747C"/>
    <w:rsid w:val="0C8124EB"/>
    <w:rsid w:val="0CA5394B"/>
    <w:rsid w:val="0CB11563"/>
    <w:rsid w:val="0D505C1B"/>
    <w:rsid w:val="0E767028"/>
    <w:rsid w:val="0F3F1AA3"/>
    <w:rsid w:val="0F5C0D94"/>
    <w:rsid w:val="10C233A9"/>
    <w:rsid w:val="10EC5B3E"/>
    <w:rsid w:val="11126CAC"/>
    <w:rsid w:val="11740BD7"/>
    <w:rsid w:val="11DA1F24"/>
    <w:rsid w:val="11E44815"/>
    <w:rsid w:val="12165383"/>
    <w:rsid w:val="12296A3A"/>
    <w:rsid w:val="12F31522"/>
    <w:rsid w:val="132E71BB"/>
    <w:rsid w:val="13574F3A"/>
    <w:rsid w:val="138E06B8"/>
    <w:rsid w:val="143A44EA"/>
    <w:rsid w:val="146A5792"/>
    <w:rsid w:val="146C382B"/>
    <w:rsid w:val="14EA231D"/>
    <w:rsid w:val="150A2F6F"/>
    <w:rsid w:val="151439D2"/>
    <w:rsid w:val="153E114C"/>
    <w:rsid w:val="156644E7"/>
    <w:rsid w:val="15866F89"/>
    <w:rsid w:val="158D1F4D"/>
    <w:rsid w:val="15FA0478"/>
    <w:rsid w:val="165A52E4"/>
    <w:rsid w:val="168009DC"/>
    <w:rsid w:val="1689600C"/>
    <w:rsid w:val="169336AF"/>
    <w:rsid w:val="17DA4A5F"/>
    <w:rsid w:val="183B2BE1"/>
    <w:rsid w:val="185674AB"/>
    <w:rsid w:val="18B47BD7"/>
    <w:rsid w:val="19B317F0"/>
    <w:rsid w:val="19EC0189"/>
    <w:rsid w:val="1AAF3709"/>
    <w:rsid w:val="1B7E2F52"/>
    <w:rsid w:val="1BD23F86"/>
    <w:rsid w:val="1C867D1E"/>
    <w:rsid w:val="1CA757D2"/>
    <w:rsid w:val="1CF2587F"/>
    <w:rsid w:val="1DF833A9"/>
    <w:rsid w:val="1E012619"/>
    <w:rsid w:val="1E625304"/>
    <w:rsid w:val="1EF94E9C"/>
    <w:rsid w:val="1F5E6095"/>
    <w:rsid w:val="205C71BD"/>
    <w:rsid w:val="20716543"/>
    <w:rsid w:val="21AB121A"/>
    <w:rsid w:val="21DE79D4"/>
    <w:rsid w:val="22095287"/>
    <w:rsid w:val="22166BA9"/>
    <w:rsid w:val="221C055F"/>
    <w:rsid w:val="2227222A"/>
    <w:rsid w:val="224F4422"/>
    <w:rsid w:val="225A73C1"/>
    <w:rsid w:val="22D0336F"/>
    <w:rsid w:val="235B2DA4"/>
    <w:rsid w:val="23781319"/>
    <w:rsid w:val="23A510A9"/>
    <w:rsid w:val="23D8367D"/>
    <w:rsid w:val="23F34CD8"/>
    <w:rsid w:val="247F5B01"/>
    <w:rsid w:val="25A0388E"/>
    <w:rsid w:val="25EF3DCB"/>
    <w:rsid w:val="26202C93"/>
    <w:rsid w:val="266A026F"/>
    <w:rsid w:val="26B24DF9"/>
    <w:rsid w:val="26F50A4F"/>
    <w:rsid w:val="27486A51"/>
    <w:rsid w:val="278E6208"/>
    <w:rsid w:val="28001741"/>
    <w:rsid w:val="28E676DC"/>
    <w:rsid w:val="290D1F44"/>
    <w:rsid w:val="29562F4A"/>
    <w:rsid w:val="2A487B51"/>
    <w:rsid w:val="2A562521"/>
    <w:rsid w:val="2A664A66"/>
    <w:rsid w:val="2AC31A97"/>
    <w:rsid w:val="2AFA6CE1"/>
    <w:rsid w:val="2BAE1354"/>
    <w:rsid w:val="2C2010AB"/>
    <w:rsid w:val="2C3B13EC"/>
    <w:rsid w:val="2C9973F8"/>
    <w:rsid w:val="2D086A5A"/>
    <w:rsid w:val="2D6E2B18"/>
    <w:rsid w:val="2DB16E8B"/>
    <w:rsid w:val="2E44718D"/>
    <w:rsid w:val="2E8250B1"/>
    <w:rsid w:val="2FD47B8E"/>
    <w:rsid w:val="30691BEE"/>
    <w:rsid w:val="309B7A48"/>
    <w:rsid w:val="30A0299D"/>
    <w:rsid w:val="30B12B8E"/>
    <w:rsid w:val="30F6566A"/>
    <w:rsid w:val="31A82723"/>
    <w:rsid w:val="32071453"/>
    <w:rsid w:val="323370A9"/>
    <w:rsid w:val="32E21E22"/>
    <w:rsid w:val="33484942"/>
    <w:rsid w:val="33813D19"/>
    <w:rsid w:val="35872826"/>
    <w:rsid w:val="36A47652"/>
    <w:rsid w:val="36FA581D"/>
    <w:rsid w:val="372D5FD0"/>
    <w:rsid w:val="383E03FD"/>
    <w:rsid w:val="384A3BEB"/>
    <w:rsid w:val="38E06631"/>
    <w:rsid w:val="39441B6C"/>
    <w:rsid w:val="3A20148E"/>
    <w:rsid w:val="3A335C4A"/>
    <w:rsid w:val="3A4E5CD0"/>
    <w:rsid w:val="3A932306"/>
    <w:rsid w:val="3AC837A1"/>
    <w:rsid w:val="3B950B19"/>
    <w:rsid w:val="3B9A612F"/>
    <w:rsid w:val="3BC5272B"/>
    <w:rsid w:val="3BF23CE7"/>
    <w:rsid w:val="3BF76C89"/>
    <w:rsid w:val="3C844C04"/>
    <w:rsid w:val="3CB704EE"/>
    <w:rsid w:val="3CF7166D"/>
    <w:rsid w:val="3D4249FF"/>
    <w:rsid w:val="3D527AF5"/>
    <w:rsid w:val="3D5567B2"/>
    <w:rsid w:val="3E304603"/>
    <w:rsid w:val="3F4A6A3A"/>
    <w:rsid w:val="3F743FA6"/>
    <w:rsid w:val="3FCC2FD1"/>
    <w:rsid w:val="40285C30"/>
    <w:rsid w:val="410E6A76"/>
    <w:rsid w:val="41764A2B"/>
    <w:rsid w:val="41B67580"/>
    <w:rsid w:val="43B31BBC"/>
    <w:rsid w:val="449D459A"/>
    <w:rsid w:val="44FE459A"/>
    <w:rsid w:val="46004114"/>
    <w:rsid w:val="469D2CCA"/>
    <w:rsid w:val="46D737FF"/>
    <w:rsid w:val="47285F3F"/>
    <w:rsid w:val="477A5B14"/>
    <w:rsid w:val="48102E25"/>
    <w:rsid w:val="48376942"/>
    <w:rsid w:val="48752B3F"/>
    <w:rsid w:val="48DB4BFB"/>
    <w:rsid w:val="48DF056F"/>
    <w:rsid w:val="491C59AD"/>
    <w:rsid w:val="499B232F"/>
    <w:rsid w:val="49AB37D4"/>
    <w:rsid w:val="49D449EB"/>
    <w:rsid w:val="4A7531D6"/>
    <w:rsid w:val="4B165404"/>
    <w:rsid w:val="4B3F6DC9"/>
    <w:rsid w:val="4BA23901"/>
    <w:rsid w:val="4BB226CF"/>
    <w:rsid w:val="4CAF749A"/>
    <w:rsid w:val="4CDF6259"/>
    <w:rsid w:val="4D1D271C"/>
    <w:rsid w:val="4D29462F"/>
    <w:rsid w:val="4D816991"/>
    <w:rsid w:val="4F505DEA"/>
    <w:rsid w:val="4F732300"/>
    <w:rsid w:val="4F7468BD"/>
    <w:rsid w:val="4FAC4FDD"/>
    <w:rsid w:val="4FDA433C"/>
    <w:rsid w:val="4FE334D3"/>
    <w:rsid w:val="4FEB1C3C"/>
    <w:rsid w:val="4FF30377"/>
    <w:rsid w:val="506F3094"/>
    <w:rsid w:val="50E1774A"/>
    <w:rsid w:val="50EB4750"/>
    <w:rsid w:val="5120099F"/>
    <w:rsid w:val="51DF2696"/>
    <w:rsid w:val="5272689E"/>
    <w:rsid w:val="52974D1F"/>
    <w:rsid w:val="53577B1A"/>
    <w:rsid w:val="539A0248"/>
    <w:rsid w:val="540B4978"/>
    <w:rsid w:val="541067D7"/>
    <w:rsid w:val="550448B0"/>
    <w:rsid w:val="55496A0F"/>
    <w:rsid w:val="55850499"/>
    <w:rsid w:val="55F41EB4"/>
    <w:rsid w:val="57ED1672"/>
    <w:rsid w:val="583A6878"/>
    <w:rsid w:val="58FB441B"/>
    <w:rsid w:val="595461AF"/>
    <w:rsid w:val="59631FEE"/>
    <w:rsid w:val="596439B2"/>
    <w:rsid w:val="59AF6DF2"/>
    <w:rsid w:val="5A63421E"/>
    <w:rsid w:val="5ACA62B5"/>
    <w:rsid w:val="5AD45511"/>
    <w:rsid w:val="5AF04D43"/>
    <w:rsid w:val="5BB12BF2"/>
    <w:rsid w:val="5C0022CD"/>
    <w:rsid w:val="5C006A47"/>
    <w:rsid w:val="5C8A4190"/>
    <w:rsid w:val="5CB87248"/>
    <w:rsid w:val="5CD44FEB"/>
    <w:rsid w:val="5D184CAE"/>
    <w:rsid w:val="5D963C63"/>
    <w:rsid w:val="5DBE7604"/>
    <w:rsid w:val="5E09758C"/>
    <w:rsid w:val="5E1A1B35"/>
    <w:rsid w:val="5ED163CC"/>
    <w:rsid w:val="5EF15762"/>
    <w:rsid w:val="605472D8"/>
    <w:rsid w:val="60681DE6"/>
    <w:rsid w:val="60AE3C5C"/>
    <w:rsid w:val="61757449"/>
    <w:rsid w:val="61A134C4"/>
    <w:rsid w:val="628E67D5"/>
    <w:rsid w:val="63227A39"/>
    <w:rsid w:val="6331362E"/>
    <w:rsid w:val="635A5109"/>
    <w:rsid w:val="636A54E7"/>
    <w:rsid w:val="64E64BB9"/>
    <w:rsid w:val="658E4A0B"/>
    <w:rsid w:val="65CC5CFA"/>
    <w:rsid w:val="668F6144"/>
    <w:rsid w:val="676C0174"/>
    <w:rsid w:val="678B3253"/>
    <w:rsid w:val="67A12167"/>
    <w:rsid w:val="69366FB6"/>
    <w:rsid w:val="69392234"/>
    <w:rsid w:val="69805CFC"/>
    <w:rsid w:val="6A357B03"/>
    <w:rsid w:val="6A376BF7"/>
    <w:rsid w:val="6AA21219"/>
    <w:rsid w:val="6AE02E8A"/>
    <w:rsid w:val="6C58731C"/>
    <w:rsid w:val="6C7F4402"/>
    <w:rsid w:val="6D070820"/>
    <w:rsid w:val="6D3D10EF"/>
    <w:rsid w:val="6E1A52CF"/>
    <w:rsid w:val="6E9478B9"/>
    <w:rsid w:val="6F7C517B"/>
    <w:rsid w:val="70F47EB4"/>
    <w:rsid w:val="70F74E78"/>
    <w:rsid w:val="70FA6B7B"/>
    <w:rsid w:val="71B022EE"/>
    <w:rsid w:val="72184E0E"/>
    <w:rsid w:val="72184E79"/>
    <w:rsid w:val="72D509D3"/>
    <w:rsid w:val="72DC7494"/>
    <w:rsid w:val="735F6D3B"/>
    <w:rsid w:val="73F333D3"/>
    <w:rsid w:val="7416204E"/>
    <w:rsid w:val="742529DB"/>
    <w:rsid w:val="74D773B5"/>
    <w:rsid w:val="75D44595"/>
    <w:rsid w:val="75E20A21"/>
    <w:rsid w:val="75EC2C69"/>
    <w:rsid w:val="76305605"/>
    <w:rsid w:val="76515A45"/>
    <w:rsid w:val="76D07E61"/>
    <w:rsid w:val="76E13C50"/>
    <w:rsid w:val="76E83563"/>
    <w:rsid w:val="76F94EB0"/>
    <w:rsid w:val="771E18A7"/>
    <w:rsid w:val="77440722"/>
    <w:rsid w:val="77543075"/>
    <w:rsid w:val="77581B01"/>
    <w:rsid w:val="77A91853"/>
    <w:rsid w:val="78F17C07"/>
    <w:rsid w:val="796D313F"/>
    <w:rsid w:val="7A742A22"/>
    <w:rsid w:val="7B0C0F79"/>
    <w:rsid w:val="7B332D7F"/>
    <w:rsid w:val="7CF6117F"/>
    <w:rsid w:val="7CF84B53"/>
    <w:rsid w:val="7D390712"/>
    <w:rsid w:val="7D4D43F3"/>
    <w:rsid w:val="7E16443C"/>
    <w:rsid w:val="7EF22D57"/>
    <w:rsid w:val="7EFA31DC"/>
    <w:rsid w:val="7F836AAF"/>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paragraph" w:styleId="4">
    <w:name w:val="heading 3"/>
    <w:basedOn w:val="2"/>
    <w:next w:val="2"/>
    <w:qFormat/>
    <w:uiPriority w:val="0"/>
    <w:pPr>
      <w:wordWrap w:val="0"/>
      <w:spacing w:after="160"/>
      <w:ind w:left="1400" w:hanging="400"/>
      <w:jc w:val="both"/>
      <w:outlineLvl w:val="2"/>
    </w:pPr>
    <w:rPr>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unhideWhenUsed/>
    <w:qFormat/>
    <w:uiPriority w:val="99"/>
    <w:pPr>
      <w:spacing w:after="120"/>
      <w:ind w:left="420" w:leftChars="200" w:firstLine="420" w:firstLineChars="200"/>
    </w:pPr>
    <w:rPr>
      <w:b w:val="0"/>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qFormat/>
    <w:uiPriority w:val="0"/>
    <w:rPr>
      <w:color w:val="444444"/>
      <w:u w:val="none"/>
    </w:rPr>
  </w:style>
  <w:style w:type="character" w:styleId="15">
    <w:name w:val="Emphasis"/>
    <w:basedOn w:val="12"/>
    <w:qFormat/>
    <w:uiPriority w:val="0"/>
    <w:rPr>
      <w:rFonts w:hint="eastAsia" w:ascii="微软雅黑" w:hAnsi="微软雅黑" w:eastAsia="微软雅黑" w:cs="微软雅黑"/>
    </w:rPr>
  </w:style>
  <w:style w:type="character" w:styleId="16">
    <w:name w:val="Hyperlink"/>
    <w:basedOn w:val="12"/>
    <w:qFormat/>
    <w:uiPriority w:val="0"/>
    <w:rPr>
      <w:color w:val="444444"/>
      <w:u w:val="none"/>
    </w:rPr>
  </w:style>
  <w:style w:type="character" w:customStyle="1" w:styleId="17">
    <w:name w:val="enter"/>
    <w:basedOn w:val="12"/>
    <w:qFormat/>
    <w:uiPriority w:val="0"/>
  </w:style>
  <w:style w:type="character" w:customStyle="1" w:styleId="18">
    <w:name w:val="realname"/>
    <w:basedOn w:val="12"/>
    <w:qFormat/>
    <w:uiPriority w:val="0"/>
  </w:style>
  <w:style w:type="character" w:customStyle="1" w:styleId="19">
    <w:name w:val="realname1"/>
    <w:basedOn w:val="12"/>
    <w:qFormat/>
    <w:uiPriority w:val="0"/>
  </w:style>
  <w:style w:type="character" w:customStyle="1" w:styleId="20">
    <w:name w:val="bwvip"/>
    <w:basedOn w:val="12"/>
    <w:qFormat/>
    <w:uiPriority w:val="0"/>
  </w:style>
  <w:style w:type="character" w:customStyle="1" w:styleId="21">
    <w:name w:val="vip"/>
    <w:basedOn w:val="12"/>
    <w:qFormat/>
    <w:uiPriority w:val="0"/>
  </w:style>
  <w:style w:type="character" w:customStyle="1" w:styleId="22">
    <w:name w:val="book"/>
    <w:basedOn w:val="12"/>
    <w:qFormat/>
    <w:uiPriority w:val="0"/>
  </w:style>
  <w:style w:type="character" w:customStyle="1" w:styleId="23">
    <w:name w:val="enter1"/>
    <w:basedOn w:val="12"/>
    <w:qFormat/>
    <w:uiPriority w:val="0"/>
  </w:style>
  <w:style w:type="paragraph" w:customStyle="1" w:styleId="24">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5">
    <w:name w:val="font31"/>
    <w:basedOn w:val="12"/>
    <w:qFormat/>
    <w:uiPriority w:val="0"/>
    <w:rPr>
      <w:rFonts w:hint="default" w:ascii="等线" w:hAnsi="等线" w:eastAsia="等线" w:cs="等线"/>
      <w:color w:val="000000"/>
      <w:sz w:val="24"/>
      <w:szCs w:val="24"/>
      <w:u w:val="none"/>
    </w:rPr>
  </w:style>
  <w:style w:type="character" w:customStyle="1" w:styleId="26">
    <w:name w:val="font61"/>
    <w:basedOn w:val="12"/>
    <w:qFormat/>
    <w:uiPriority w:val="0"/>
    <w:rPr>
      <w:rFonts w:hint="eastAsia" w:ascii="宋体" w:hAnsi="宋体" w:eastAsia="宋体" w:cs="宋体"/>
      <w:color w:val="000000"/>
      <w:sz w:val="21"/>
      <w:szCs w:val="21"/>
      <w:u w:val="none"/>
    </w:rPr>
  </w:style>
  <w:style w:type="character" w:customStyle="1" w:styleId="27">
    <w:name w:val="font51"/>
    <w:basedOn w:val="12"/>
    <w:qFormat/>
    <w:uiPriority w:val="0"/>
    <w:rPr>
      <w:rFonts w:hint="eastAsia" w:ascii="宋体" w:hAnsi="宋体" w:eastAsia="宋体" w:cs="宋体"/>
      <w:color w:val="000000"/>
      <w:sz w:val="20"/>
      <w:szCs w:val="20"/>
      <w:u w:val="none"/>
    </w:rPr>
  </w:style>
  <w:style w:type="character" w:customStyle="1" w:styleId="28">
    <w:name w:val="font81"/>
    <w:basedOn w:val="12"/>
    <w:qFormat/>
    <w:uiPriority w:val="0"/>
    <w:rPr>
      <w:rFonts w:hint="default" w:ascii="Times New Roman" w:hAnsi="Times New Roman" w:cs="Times New Roman"/>
      <w:color w:val="000000"/>
      <w:sz w:val="21"/>
      <w:szCs w:val="21"/>
      <w:u w:val="none"/>
    </w:rPr>
  </w:style>
  <w:style w:type="paragraph" w:customStyle="1" w:styleId="29">
    <w:name w:val="Normal_9"/>
    <w:qFormat/>
    <w:uiPriority w:val="0"/>
    <w:pPr>
      <w:spacing w:before="120" w:after="240"/>
      <w:jc w:val="both"/>
    </w:pPr>
    <w:rPr>
      <w:rFonts w:ascii="Calibri" w:hAnsi="Calibri" w:eastAsia="Calibri" w:cs="Times New Roman"/>
      <w:sz w:val="22"/>
      <w:szCs w:val="22"/>
      <w:lang w:val="en-US" w:eastAsia="en-US" w:bidi="ar-SA"/>
    </w:rPr>
  </w:style>
  <w:style w:type="character" w:customStyle="1" w:styleId="30">
    <w:name w:val="font21"/>
    <w:qFormat/>
    <w:uiPriority w:val="0"/>
    <w:rPr>
      <w:rFonts w:hint="eastAsia" w:ascii="宋体" w:hAnsi="宋体" w:eastAsia="宋体"/>
      <w:color w:val="FF0000"/>
      <w:sz w:val="20"/>
      <w:szCs w:val="20"/>
      <w:u w:val="none"/>
    </w:rPr>
  </w:style>
  <w:style w:type="paragraph" w:customStyle="1" w:styleId="31">
    <w:name w:val="纯文本1"/>
    <w:basedOn w:val="1"/>
    <w:unhideWhenUsed/>
    <w:qFormat/>
    <w:uiPriority w:val="99"/>
    <w:pPr>
      <w:spacing w:beforeLines="0" w:afterLines="0"/>
    </w:pPr>
    <w:rPr>
      <w:rFonts w:hint="eastAsia"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1606</Words>
  <Characters>1910</Characters>
  <Lines>0</Lines>
  <Paragraphs>0</Paragraphs>
  <TotalTime>5</TotalTime>
  <ScaleCrop>false</ScaleCrop>
  <LinksUpToDate>false</LinksUpToDate>
  <CharactersWithSpaces>1931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2023-07-24T01:28:37Z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8F174C172F3D4E179351CED9E42D6DA7</vt:lpwstr>
  </property>
</Properties>
</file>