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广西百矿铝业有限公司、广西田林百矿铝业有限公司2023年电动阳极拖车采购项目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广西百矿铝业有限公司、广西田林百矿铝业有限公司2023年电动阳极拖车采购项目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吉利百矿集团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有限公司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下辖广西百矿铝业有限公司（简称“田阳铝厂”），广西田林百矿铝业有限公司（简称“田林铝厂”），其中，田阳铝厂位于百色市田阳区头塘镇百色新山铝产业示范园内，田林铝厂位于广西百色市田林县旧州镇铝工业区。为了满足田阳铝厂和田林铝厂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阳极拖车的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使用需要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。现计划对广西百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lang w:eastAsia="zh-CN"/>
        </w:rPr>
        <w:t>矿铝业有限公司、广西田林百矿铝业有限公司2023年电动阳极拖车采购项目进行招标。欢迎有实力的单位参与此次招标活动。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2"/>
        <w:tblW w:w="49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867"/>
        <w:gridCol w:w="3340"/>
        <w:gridCol w:w="1197"/>
        <w:gridCol w:w="1182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设备名称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主要技术参数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110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需求单位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473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电动阳极拖车</w:t>
            </w:r>
          </w:p>
        </w:tc>
        <w:tc>
          <w:tcPr>
            <w:tcW w:w="182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4块阳极/残极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；新能源；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具体详见技术任务书。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0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田林铝厂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9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473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2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6块阳极/残极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新能源；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具体详见技术任务书。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0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hd w:val="clear" w:color="auto" w:fill="FFFFFF"/>
              </w:rPr>
              <w:t>田阳铝厂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vertAlign w:val="baseline"/>
                <w:lang w:val="en-US" w:eastAsia="zh-CN"/>
              </w:rPr>
              <w:t>含充电桩及配品配件。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具有自行生产制造或销售资质；具有竞标规格及以上相应或相似条件下，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电动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阳极拖车近5年在国内外不少于2个类似业绩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注：以上业绩须附列表及对应列表的合同原件扫描件。合同原件扫描件含首尾页、供货设备规格型号的供货清单、签字盖章页，否则按无效业绩处理。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代理商需提供代理生产制造厂家的营业执照和授权委托书。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销售代理商需提供生产制造厂家的营业执照和授权代理文件。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广西百矿铝业有限公司、广西田林百矿铝业有限公司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技术：崔丕英  手机号：13307760677   E-mail: Piying.Cui@geely.com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开户行：建设银行百色中山支行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投诉、举报电话：0571-28098168（供应链管理部）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TdhYTFlMzZmNDZmMjU4YjkwMDNlOWVkZjhkYWI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5867A9"/>
    <w:rsid w:val="065B3392"/>
    <w:rsid w:val="08066011"/>
    <w:rsid w:val="08294F11"/>
    <w:rsid w:val="08E6448C"/>
    <w:rsid w:val="092B7632"/>
    <w:rsid w:val="09D53AAE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78D46D1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1BA560A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6004114"/>
    <w:rsid w:val="469D2CCA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377D1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6B20FD1"/>
    <w:rsid w:val="676C0174"/>
    <w:rsid w:val="678B3253"/>
    <w:rsid w:val="67A12167"/>
    <w:rsid w:val="69366FB6"/>
    <w:rsid w:val="69392234"/>
    <w:rsid w:val="69805CFC"/>
    <w:rsid w:val="69CD3018"/>
    <w:rsid w:val="6A357B03"/>
    <w:rsid w:val="6A376BF7"/>
    <w:rsid w:val="6AA21219"/>
    <w:rsid w:val="6AE02E8A"/>
    <w:rsid w:val="6C58731C"/>
    <w:rsid w:val="6C7F4402"/>
    <w:rsid w:val="6D070820"/>
    <w:rsid w:val="6D3D10EF"/>
    <w:rsid w:val="6E1A52CF"/>
    <w:rsid w:val="6E9478B9"/>
    <w:rsid w:val="6F7C517B"/>
    <w:rsid w:val="706F3D21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A446B2D"/>
    <w:rsid w:val="7A742A22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2"/>
    <w:next w:val="2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1803</Characters>
  <Lines>0</Lines>
  <Paragraphs>0</Paragraphs>
  <TotalTime>4</TotalTime>
  <ScaleCrop>false</ScaleCrop>
  <LinksUpToDate>false</LinksUpToDate>
  <CharactersWithSpaces>1825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2023-08-22T12:11:50Z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8F174C172F3D4E179351CED9E42D6DA7</vt:lpwstr>
  </property>
</Properties>
</file>