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1" w:lineRule="auto"/>
      </w:pPr>
    </w:p>
    <w:p>
      <w:pPr>
        <w:pStyle w:val="3"/>
        <w:spacing w:line="241" w:lineRule="auto"/>
      </w:pPr>
    </w:p>
    <w:p>
      <w:pPr>
        <w:pStyle w:val="3"/>
        <w:spacing w:line="241" w:lineRule="auto"/>
      </w:pPr>
    </w:p>
    <w:p>
      <w:pPr>
        <w:pStyle w:val="3"/>
        <w:spacing w:line="241" w:lineRule="auto"/>
      </w:pPr>
    </w:p>
    <w:p>
      <w:pPr>
        <w:pStyle w:val="3"/>
        <w:spacing w:line="241" w:lineRule="auto"/>
      </w:pPr>
    </w:p>
    <w:p>
      <w:pPr>
        <w:pStyle w:val="3"/>
        <w:spacing w:line="241" w:lineRule="auto"/>
      </w:pPr>
    </w:p>
    <w:p>
      <w:pPr>
        <w:pStyle w:val="3"/>
        <w:spacing w:line="241" w:lineRule="auto"/>
      </w:pPr>
    </w:p>
    <w:p>
      <w:pPr>
        <w:pStyle w:val="3"/>
        <w:spacing w:line="242" w:lineRule="auto"/>
      </w:pPr>
    </w:p>
    <w:p>
      <w:pPr>
        <w:pStyle w:val="3"/>
        <w:spacing w:line="242" w:lineRule="auto"/>
      </w:pPr>
    </w:p>
    <w:p>
      <w:pPr>
        <w:pStyle w:val="3"/>
        <w:spacing w:line="242" w:lineRule="auto"/>
      </w:pPr>
    </w:p>
    <w:p>
      <w:pPr>
        <w:pStyle w:val="3"/>
        <w:spacing w:line="242" w:lineRule="auto"/>
      </w:pPr>
    </w:p>
    <w:p>
      <w:pPr>
        <w:pStyle w:val="3"/>
        <w:spacing w:line="242" w:lineRule="auto"/>
      </w:pPr>
    </w:p>
    <w:p>
      <w:pPr>
        <w:pStyle w:val="3"/>
        <w:spacing w:line="242" w:lineRule="auto"/>
      </w:pPr>
    </w:p>
    <w:p>
      <w:pPr>
        <w:pStyle w:val="3"/>
        <w:spacing w:line="242" w:lineRule="auto"/>
      </w:pPr>
    </w:p>
    <w:p>
      <w:pPr>
        <w:pStyle w:val="3"/>
        <w:spacing w:line="242" w:lineRule="auto"/>
      </w:pPr>
    </w:p>
    <w:p>
      <w:pPr>
        <w:pStyle w:val="3"/>
        <w:spacing w:line="242" w:lineRule="auto"/>
      </w:pPr>
    </w:p>
    <w:p>
      <w:pPr>
        <w:pStyle w:val="3"/>
        <w:spacing w:line="242" w:lineRule="auto"/>
      </w:pPr>
    </w:p>
    <w:p>
      <w:pPr>
        <w:pStyle w:val="3"/>
        <w:spacing w:line="242" w:lineRule="auto"/>
      </w:pPr>
    </w:p>
    <w:p>
      <w:pPr>
        <w:pStyle w:val="3"/>
        <w:spacing w:line="242" w:lineRule="auto"/>
      </w:pPr>
    </w:p>
    <w:p>
      <w:pPr>
        <w:pStyle w:val="3"/>
        <w:spacing w:line="242" w:lineRule="auto"/>
      </w:pPr>
    </w:p>
    <w:p>
      <w:pPr>
        <w:pStyle w:val="3"/>
        <w:spacing w:line="242" w:lineRule="auto"/>
      </w:pPr>
    </w:p>
    <w:p>
      <w:pPr>
        <w:pStyle w:val="3"/>
        <w:spacing w:line="242" w:lineRule="auto"/>
      </w:pPr>
    </w:p>
    <w:p>
      <w:pPr>
        <w:pStyle w:val="3"/>
        <w:spacing w:line="242" w:lineRule="auto"/>
      </w:pPr>
    </w:p>
    <w:p>
      <w:pPr>
        <w:pStyle w:val="3"/>
        <w:spacing w:line="242" w:lineRule="auto"/>
      </w:pPr>
    </w:p>
    <w:p>
      <w:pPr>
        <w:pStyle w:val="3"/>
        <w:spacing w:line="242" w:lineRule="auto"/>
      </w:pPr>
    </w:p>
    <w:p>
      <w:pPr>
        <w:spacing w:before="171" w:line="183" w:lineRule="auto"/>
        <w:ind w:left="3895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b/>
          <w:bCs/>
          <w:spacing w:val="-1"/>
          <w:sz w:val="40"/>
          <w:szCs w:val="40"/>
        </w:rPr>
        <w:t>技术任务书</w:t>
      </w:r>
    </w:p>
    <w:p>
      <w:pPr>
        <w:spacing w:line="183" w:lineRule="auto"/>
        <w:rPr>
          <w:rFonts w:ascii="微软雅黑" w:hAnsi="微软雅黑" w:eastAsia="微软雅黑" w:cs="微软雅黑"/>
          <w:sz w:val="40"/>
          <w:szCs w:val="40"/>
        </w:rPr>
        <w:sectPr>
          <w:headerReference r:id="rId3" w:type="default"/>
          <w:footerReference r:id="rId4" w:type="default"/>
          <w:pgSz w:w="11906" w:h="16839"/>
          <w:pgMar w:top="1091" w:right="849" w:bottom="1362" w:left="1275" w:header="585" w:footer="1200" w:gutter="0"/>
          <w:cols w:space="720" w:num="1"/>
        </w:sectPr>
      </w:pPr>
    </w:p>
    <w:p>
      <w:pPr>
        <w:pStyle w:val="3"/>
        <w:spacing w:line="362" w:lineRule="auto"/>
      </w:pPr>
    </w:p>
    <w:sdt>
      <w:sdtPr>
        <w:rPr>
          <w:rFonts w:ascii="微软雅黑" w:hAnsi="微软雅黑" w:eastAsia="微软雅黑" w:cs="微软雅黑"/>
          <w:sz w:val="35"/>
          <w:szCs w:val="35"/>
        </w:rPr>
        <w:id w:val="1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spacing w:val="8"/>
          <w:position w:val="-1"/>
          <w:sz w:val="31"/>
          <w:szCs w:val="31"/>
          <w:lang w:val="en-US" w:eastAsia="zh-CN"/>
        </w:rPr>
      </w:sdtEndPr>
      <w:sdtContent>
        <w:p>
          <w:pPr>
            <w:spacing w:before="150" w:line="180" w:lineRule="auto"/>
            <w:ind w:left="4391"/>
            <w:rPr>
              <w:rFonts w:ascii="微软雅黑" w:hAnsi="微软雅黑" w:eastAsia="微软雅黑" w:cs="微软雅黑"/>
              <w:sz w:val="35"/>
              <w:szCs w:val="35"/>
            </w:rPr>
          </w:pPr>
          <w:r>
            <w:rPr>
              <w:rFonts w:ascii="微软雅黑" w:hAnsi="微软雅黑" w:eastAsia="微软雅黑" w:cs="微软雅黑"/>
              <w:b/>
              <w:bCs/>
              <w:spacing w:val="-14"/>
              <w:sz w:val="35"/>
              <w:szCs w:val="35"/>
            </w:rPr>
            <w:t>目</w:t>
          </w:r>
          <w:r>
            <w:rPr>
              <w:rFonts w:ascii="微软雅黑" w:hAnsi="微软雅黑" w:eastAsia="微软雅黑" w:cs="微软雅黑"/>
              <w:b/>
              <w:bCs/>
              <w:spacing w:val="17"/>
              <w:sz w:val="35"/>
              <w:szCs w:val="35"/>
            </w:rPr>
            <w:t xml:space="preserve">   </w:t>
          </w:r>
          <w:r>
            <w:rPr>
              <w:rFonts w:ascii="微软雅黑" w:hAnsi="微软雅黑" w:eastAsia="微软雅黑" w:cs="微软雅黑"/>
              <w:b/>
              <w:bCs/>
              <w:spacing w:val="-14"/>
              <w:sz w:val="35"/>
              <w:szCs w:val="35"/>
            </w:rPr>
            <w:t>录</w:t>
          </w:r>
        </w:p>
        <w:p>
          <w:pPr>
            <w:pStyle w:val="3"/>
            <w:spacing w:line="272" w:lineRule="auto"/>
          </w:pPr>
        </w:p>
        <w:p>
          <w:pPr>
            <w:pStyle w:val="3"/>
            <w:spacing w:line="272" w:lineRule="auto"/>
          </w:pPr>
        </w:p>
        <w:p>
          <w:pPr>
            <w:pStyle w:val="3"/>
            <w:spacing w:line="272" w:lineRule="auto"/>
          </w:pPr>
        </w:p>
        <w:p>
          <w:pPr>
            <w:pStyle w:val="3"/>
            <w:spacing w:line="272" w:lineRule="auto"/>
          </w:pPr>
        </w:p>
        <w:p>
          <w:pPr>
            <w:pStyle w:val="3"/>
            <w:spacing w:line="273" w:lineRule="auto"/>
          </w:pPr>
        </w:p>
        <w:p>
          <w:pPr>
            <w:spacing w:before="133" w:line="315" w:lineRule="exact"/>
            <w:ind w:left="2885"/>
            <w:rPr>
              <w:rFonts w:ascii="微软雅黑" w:hAnsi="微软雅黑" w:eastAsia="微软雅黑" w:cs="微软雅黑"/>
              <w:sz w:val="31"/>
              <w:szCs w:val="31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9"/>
              <w:position w:val="-1"/>
              <w:sz w:val="31"/>
              <w:szCs w:val="31"/>
            </w:rPr>
            <w:t>一、项目概况</w:t>
          </w:r>
          <w:r>
            <w:rPr>
              <w:rFonts w:ascii="微软雅黑" w:hAnsi="微软雅黑" w:eastAsia="微软雅黑" w:cs="微软雅黑"/>
              <w:spacing w:val="9"/>
              <w:position w:val="-1"/>
              <w:sz w:val="31"/>
              <w:szCs w:val="31"/>
            </w:rPr>
            <w:fldChar w:fldCharType="end"/>
          </w:r>
        </w:p>
        <w:p>
          <w:pPr>
            <w:pStyle w:val="3"/>
            <w:spacing w:line="328" w:lineRule="auto"/>
          </w:pPr>
        </w:p>
        <w:p>
          <w:pPr>
            <w:spacing w:before="133" w:line="316" w:lineRule="exact"/>
            <w:ind w:left="2950"/>
            <w:rPr>
              <w:rFonts w:ascii="微软雅黑" w:hAnsi="微软雅黑" w:eastAsia="微软雅黑" w:cs="微软雅黑"/>
              <w:spacing w:val="8"/>
              <w:position w:val="-1"/>
              <w:sz w:val="31"/>
              <w:szCs w:val="31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8"/>
              <w:position w:val="-1"/>
              <w:sz w:val="31"/>
              <w:szCs w:val="31"/>
            </w:rPr>
            <w:t>二、项目范围及方式</w:t>
          </w:r>
          <w:r>
            <w:rPr>
              <w:rFonts w:ascii="微软雅黑" w:hAnsi="微软雅黑" w:eastAsia="微软雅黑" w:cs="微软雅黑"/>
              <w:spacing w:val="8"/>
              <w:position w:val="-1"/>
              <w:sz w:val="31"/>
              <w:szCs w:val="31"/>
            </w:rPr>
            <w:fldChar w:fldCharType="end"/>
          </w:r>
        </w:p>
        <w:p>
          <w:pPr>
            <w:spacing w:before="133" w:line="316" w:lineRule="exact"/>
            <w:ind w:left="2950"/>
            <w:rPr>
              <w:rFonts w:ascii="微软雅黑" w:hAnsi="微软雅黑" w:eastAsia="微软雅黑" w:cs="微软雅黑"/>
              <w:spacing w:val="8"/>
              <w:position w:val="-1"/>
              <w:sz w:val="31"/>
              <w:szCs w:val="31"/>
            </w:rPr>
          </w:pPr>
        </w:p>
        <w:p>
          <w:pPr>
            <w:spacing w:before="133" w:line="316" w:lineRule="exact"/>
            <w:ind w:left="2950"/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t>三、编制资质及要求</w:t>
          </w:r>
        </w:p>
        <w:p>
          <w:pPr>
            <w:pStyle w:val="3"/>
            <w:spacing w:line="334" w:lineRule="auto"/>
          </w:pPr>
        </w:p>
        <w:p>
          <w:pPr>
            <w:spacing w:before="133" w:line="316" w:lineRule="exact"/>
            <w:ind w:left="2950"/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fldChar w:fldCharType="begin"/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instrText xml:space="preserve"> HYPERLINK \l "bookmark3" </w:instrText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t>四、工期</w:t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fldChar w:fldCharType="end"/>
          </w:r>
        </w:p>
        <w:p>
          <w:pPr>
            <w:spacing w:before="133" w:line="316" w:lineRule="exact"/>
            <w:ind w:left="2950"/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</w:pPr>
        </w:p>
        <w:p>
          <w:pPr>
            <w:spacing w:before="133" w:line="316" w:lineRule="exact"/>
            <w:ind w:left="2950"/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fldChar w:fldCharType="begin"/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instrText xml:space="preserve"> HYPERLINK \l "bookmark4" </w:instrText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t>五、质量标准</w:t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fldChar w:fldCharType="end"/>
          </w:r>
        </w:p>
        <w:p>
          <w:pPr>
            <w:spacing w:before="133" w:line="316" w:lineRule="exact"/>
            <w:ind w:left="2950"/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</w:pPr>
        </w:p>
        <w:p>
          <w:pPr>
            <w:spacing w:before="133" w:line="316" w:lineRule="exact"/>
            <w:ind w:left="2950"/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fldChar w:fldCharType="begin"/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instrText xml:space="preserve"> HYPERLINK \l "bookmark5" </w:instrText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t>六、报告评审和交付</w:t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fldChar w:fldCharType="end"/>
          </w:r>
        </w:p>
        <w:p>
          <w:pPr>
            <w:spacing w:before="133" w:line="316" w:lineRule="exact"/>
            <w:ind w:left="2950"/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</w:pPr>
        </w:p>
        <w:p>
          <w:pPr>
            <w:spacing w:before="133" w:line="316" w:lineRule="exact"/>
            <w:ind w:left="2950"/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fldChar w:fldCharType="begin"/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instrText xml:space="preserve"> HYPERLINK \l "bookmark6" </w:instrText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t>七、乙方的责任和义务</w:t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fldChar w:fldCharType="end"/>
          </w:r>
        </w:p>
        <w:p>
          <w:pPr>
            <w:spacing w:before="133" w:line="316" w:lineRule="exact"/>
            <w:ind w:left="2950"/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</w:pPr>
        </w:p>
        <w:p>
          <w:pPr>
            <w:spacing w:before="133" w:line="316" w:lineRule="exact"/>
            <w:ind w:left="2950"/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fldChar w:fldCharType="begin"/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instrText xml:space="preserve"> HYPERLINK \l "bookmark7" </w:instrText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t>八、甲方的责任和义务</w:t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fldChar w:fldCharType="end"/>
          </w:r>
        </w:p>
        <w:p>
          <w:pPr>
            <w:spacing w:before="133" w:line="316" w:lineRule="exact"/>
            <w:ind w:left="2950"/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</w:pPr>
        </w:p>
        <w:p>
          <w:pPr>
            <w:spacing w:before="133" w:line="316" w:lineRule="exact"/>
            <w:ind w:left="2950"/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fldChar w:fldCharType="begin"/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instrText xml:space="preserve"> HYPERLINK \l "bookmark8" </w:instrText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t>九、违约责任</w:t>
          </w:r>
          <w:r>
            <w:rPr>
              <w:rFonts w:hint="eastAsia" w:ascii="微软雅黑" w:hAnsi="微软雅黑" w:eastAsia="微软雅黑" w:cs="微软雅黑"/>
              <w:spacing w:val="8"/>
              <w:position w:val="-1"/>
              <w:sz w:val="31"/>
              <w:szCs w:val="31"/>
              <w:lang w:val="en-US" w:eastAsia="zh-CN"/>
            </w:rPr>
            <w:fldChar w:fldCharType="end"/>
          </w:r>
        </w:p>
      </w:sdtContent>
    </w:sdt>
    <w:p>
      <w:pPr>
        <w:spacing w:before="133" w:line="316" w:lineRule="exact"/>
        <w:ind w:left="2950"/>
        <w:rPr>
          <w:rFonts w:hint="eastAsia" w:ascii="微软雅黑" w:hAnsi="微软雅黑" w:eastAsia="微软雅黑" w:cs="微软雅黑"/>
          <w:spacing w:val="8"/>
          <w:position w:val="-1"/>
          <w:sz w:val="31"/>
          <w:szCs w:val="31"/>
          <w:lang w:val="en-US" w:eastAsia="zh-CN"/>
        </w:rPr>
        <w:sectPr>
          <w:footerReference r:id="rId5" w:type="default"/>
          <w:pgSz w:w="11906" w:h="16839"/>
          <w:pgMar w:top="1091" w:right="849" w:bottom="1362" w:left="1275" w:header="585" w:footer="1200" w:gutter="0"/>
          <w:cols w:space="720" w:num="1"/>
        </w:sectPr>
      </w:pPr>
    </w:p>
    <w:p>
      <w:pPr>
        <w:pStyle w:val="3"/>
        <w:spacing w:line="461" w:lineRule="auto"/>
      </w:pPr>
    </w:p>
    <w:p>
      <w:pPr>
        <w:spacing w:before="172" w:line="183" w:lineRule="auto"/>
        <w:ind w:left="3895"/>
        <w:rPr>
          <w:rFonts w:ascii="微软雅黑" w:hAnsi="微软雅黑" w:eastAsia="微软雅黑" w:cs="微软雅黑"/>
          <w:sz w:val="40"/>
          <w:szCs w:val="40"/>
        </w:rPr>
      </w:pPr>
      <w:bookmarkStart w:id="0" w:name="bookmark2"/>
      <w:bookmarkEnd w:id="0"/>
      <w:bookmarkStart w:id="1" w:name="bookmark1"/>
      <w:bookmarkEnd w:id="1"/>
      <w:r>
        <w:rPr>
          <w:rFonts w:ascii="微软雅黑" w:hAnsi="微软雅黑" w:eastAsia="微软雅黑" w:cs="微软雅黑"/>
          <w:b/>
          <w:bCs/>
          <w:spacing w:val="-1"/>
          <w:sz w:val="40"/>
          <w:szCs w:val="40"/>
        </w:rPr>
        <w:t>技术任务书</w:t>
      </w:r>
    </w:p>
    <w:p>
      <w:pPr>
        <w:pStyle w:val="3"/>
        <w:spacing w:line="248" w:lineRule="auto"/>
      </w:pPr>
    </w:p>
    <w:p>
      <w:pPr>
        <w:spacing w:before="103" w:line="182" w:lineRule="auto"/>
        <w:ind w:left="7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2"/>
          <w:sz w:val="24"/>
          <w:szCs w:val="24"/>
        </w:rPr>
        <w:t>一、项目概况</w:t>
      </w:r>
    </w:p>
    <w:p>
      <w:pPr>
        <w:spacing w:before="159" w:line="483" w:lineRule="exact"/>
        <w:ind w:left="48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position w:val="15"/>
          <w:sz w:val="24"/>
          <w:szCs w:val="24"/>
        </w:rPr>
        <w:t>项目名称：百矿集团桂黔（隆林）经济合作产业园煤电铝一体化项目200kt</w:t>
      </w:r>
      <w:r>
        <w:rPr>
          <w:rFonts w:ascii="微软雅黑" w:hAnsi="微软雅黑" w:eastAsia="微软雅黑" w:cs="微软雅黑"/>
          <w:spacing w:val="-1"/>
          <w:position w:val="15"/>
          <w:sz w:val="24"/>
          <w:szCs w:val="24"/>
        </w:rPr>
        <w:t>/a铝水工程取</w:t>
      </w:r>
    </w:p>
    <w:p>
      <w:pPr>
        <w:spacing w:before="1" w:line="183" w:lineRule="auto"/>
        <w:ind w:left="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水资源论证报告编制项目</w:t>
      </w:r>
    </w:p>
    <w:p>
      <w:pPr>
        <w:spacing w:before="206" w:line="182" w:lineRule="auto"/>
        <w:ind w:left="8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二、项目范围及方式</w:t>
      </w:r>
    </w:p>
    <w:p>
      <w:pPr>
        <w:spacing w:before="159" w:line="516" w:lineRule="exact"/>
        <w:ind w:left="52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position w:val="18"/>
          <w:sz w:val="24"/>
          <w:szCs w:val="24"/>
        </w:rPr>
        <w:t>（一）</w:t>
      </w:r>
      <w:r>
        <w:rPr>
          <w:rFonts w:ascii="微软雅黑" w:hAnsi="微软雅黑" w:eastAsia="微软雅黑" w:cs="微软雅黑"/>
          <w:spacing w:val="66"/>
          <w:position w:val="1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position w:val="18"/>
          <w:sz w:val="24"/>
          <w:szCs w:val="24"/>
        </w:rPr>
        <w:t>工作范围：广西隆林百矿铝业有限公司煤电铝一体化项目 200kt/a 铝水工程项目</w:t>
      </w:r>
    </w:p>
    <w:p>
      <w:pPr>
        <w:spacing w:before="2" w:line="220" w:lineRule="auto"/>
        <w:ind w:left="52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6"/>
          <w:sz w:val="24"/>
          <w:szCs w:val="24"/>
        </w:rPr>
        <w:t>（二）编制依据</w:t>
      </w:r>
    </w:p>
    <w:p>
      <w:pPr>
        <w:spacing w:before="139" w:line="221" w:lineRule="auto"/>
        <w:ind w:left="50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1、法律法规（包含但不限于）</w:t>
      </w:r>
    </w:p>
    <w:p>
      <w:pPr>
        <w:spacing w:before="139" w:line="221" w:lineRule="auto"/>
        <w:ind w:left="65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(1)</w:t>
      </w:r>
      <w:r>
        <w:rPr>
          <w:rFonts w:ascii="微软雅黑" w:hAnsi="微软雅黑" w:eastAsia="微软雅黑" w:cs="微软雅黑"/>
          <w:spacing w:val="11"/>
          <w:sz w:val="24"/>
          <w:szCs w:val="24"/>
        </w:rPr>
        <w:t xml:space="preserve">   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《中华人民共和国水法》；</w:t>
      </w:r>
    </w:p>
    <w:p>
      <w:pPr>
        <w:spacing w:before="139" w:line="221" w:lineRule="auto"/>
        <w:ind w:left="65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(2)</w:t>
      </w:r>
      <w:r>
        <w:rPr>
          <w:rFonts w:ascii="微软雅黑" w:hAnsi="微软雅黑" w:eastAsia="微软雅黑" w:cs="微软雅黑"/>
          <w:spacing w:val="12"/>
          <w:sz w:val="24"/>
          <w:szCs w:val="24"/>
        </w:rPr>
        <w:t xml:space="preserve">   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《中华人民共和国行政许可法》</w:t>
      </w:r>
    </w:p>
    <w:p>
      <w:pPr>
        <w:spacing w:before="140" w:line="518" w:lineRule="exact"/>
        <w:ind w:left="65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position w:val="18"/>
          <w:sz w:val="24"/>
          <w:szCs w:val="24"/>
        </w:rPr>
        <w:t>(3)    《取水许可和水资源费征收管理条例》</w:t>
      </w:r>
    </w:p>
    <w:p>
      <w:pPr>
        <w:spacing w:before="2" w:line="220" w:lineRule="auto"/>
        <w:ind w:left="65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(4)</w:t>
      </w:r>
      <w:r>
        <w:rPr>
          <w:rFonts w:ascii="微软雅黑" w:hAnsi="微软雅黑" w:eastAsia="微软雅黑" w:cs="微软雅黑"/>
          <w:spacing w:val="13"/>
          <w:sz w:val="24"/>
          <w:szCs w:val="24"/>
        </w:rPr>
        <w:t xml:space="preserve">   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《建设项目水资源论证管理办法》</w:t>
      </w:r>
    </w:p>
    <w:p>
      <w:pPr>
        <w:spacing w:before="137" w:line="518" w:lineRule="exact"/>
        <w:ind w:left="65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position w:val="18"/>
          <w:sz w:val="24"/>
          <w:szCs w:val="24"/>
        </w:rPr>
        <w:t>(5)</w:t>
      </w:r>
      <w:r>
        <w:rPr>
          <w:rFonts w:ascii="微软雅黑" w:hAnsi="微软雅黑" w:eastAsia="微软雅黑" w:cs="微软雅黑"/>
          <w:spacing w:val="12"/>
          <w:position w:val="18"/>
          <w:sz w:val="24"/>
          <w:szCs w:val="24"/>
        </w:rPr>
        <w:t xml:space="preserve">    </w:t>
      </w:r>
      <w:r>
        <w:rPr>
          <w:rFonts w:ascii="微软雅黑" w:hAnsi="微软雅黑" w:eastAsia="微软雅黑" w:cs="微软雅黑"/>
          <w:spacing w:val="-2"/>
          <w:position w:val="18"/>
          <w:sz w:val="24"/>
          <w:szCs w:val="24"/>
        </w:rPr>
        <w:t>《建设项目水资源论证导则》</w:t>
      </w:r>
    </w:p>
    <w:p>
      <w:pPr>
        <w:spacing w:before="2" w:line="220" w:lineRule="auto"/>
        <w:ind w:left="49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2、技术规范（包含但不限于）</w:t>
      </w:r>
    </w:p>
    <w:p>
      <w:pPr>
        <w:spacing w:before="139" w:line="221" w:lineRule="auto"/>
        <w:ind w:left="52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（1）</w:t>
      </w:r>
      <w:r>
        <w:rPr>
          <w:rFonts w:ascii="微软雅黑" w:hAnsi="微软雅黑" w:eastAsia="微软雅黑" w:cs="微软雅黑"/>
          <w:spacing w:val="13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《水资源评价导则》(SL/T233-1999)</w:t>
      </w:r>
    </w:p>
    <w:p>
      <w:pPr>
        <w:spacing w:before="139" w:line="519" w:lineRule="exact"/>
        <w:ind w:left="52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position w:val="18"/>
          <w:sz w:val="24"/>
          <w:szCs w:val="24"/>
        </w:rPr>
        <w:t>（2）</w:t>
      </w:r>
      <w:r>
        <w:rPr>
          <w:rFonts w:ascii="微软雅黑" w:hAnsi="微软雅黑" w:eastAsia="微软雅黑" w:cs="微软雅黑"/>
          <w:spacing w:val="9"/>
          <w:position w:val="18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2"/>
          <w:position w:val="18"/>
          <w:sz w:val="24"/>
          <w:szCs w:val="24"/>
        </w:rPr>
        <w:t>《水利水电工程地质勘察规范》(GB</w:t>
      </w:r>
      <w:r>
        <w:rPr>
          <w:rFonts w:ascii="微软雅黑" w:hAnsi="微软雅黑" w:eastAsia="微软雅黑" w:cs="微软雅黑"/>
          <w:spacing w:val="23"/>
          <w:w w:val="101"/>
          <w:position w:val="1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position w:val="18"/>
          <w:sz w:val="24"/>
          <w:szCs w:val="24"/>
        </w:rPr>
        <w:t>50287-1</w:t>
      </w:r>
      <w:r>
        <w:rPr>
          <w:rFonts w:ascii="微软雅黑" w:hAnsi="微软雅黑" w:eastAsia="微软雅黑" w:cs="微软雅黑"/>
          <w:spacing w:val="-3"/>
          <w:position w:val="18"/>
          <w:sz w:val="24"/>
          <w:szCs w:val="24"/>
        </w:rPr>
        <w:t>999)</w:t>
      </w:r>
    </w:p>
    <w:p>
      <w:pPr>
        <w:spacing w:before="1" w:line="220" w:lineRule="auto"/>
        <w:ind w:left="52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（3）</w:t>
      </w:r>
      <w:r>
        <w:rPr>
          <w:rFonts w:ascii="微软雅黑" w:hAnsi="微软雅黑" w:eastAsia="微软雅黑" w:cs="微软雅黑"/>
          <w:spacing w:val="13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《水利水电工程测量规范》(SL59-2014)</w:t>
      </w:r>
    </w:p>
    <w:p>
      <w:pPr>
        <w:spacing w:before="139" w:line="221" w:lineRule="auto"/>
        <w:ind w:left="52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（4）</w:t>
      </w:r>
      <w:r>
        <w:rPr>
          <w:rFonts w:ascii="微软雅黑" w:hAnsi="微软雅黑" w:eastAsia="微软雅黑" w:cs="微软雅黑"/>
          <w:spacing w:val="14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《水电工程水利计算规范》(SL183-2005)</w:t>
      </w:r>
    </w:p>
    <w:p>
      <w:pPr>
        <w:spacing w:before="137" w:line="519" w:lineRule="exact"/>
        <w:ind w:left="52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position w:val="18"/>
          <w:sz w:val="24"/>
          <w:szCs w:val="24"/>
        </w:rPr>
        <w:t>（5）</w:t>
      </w:r>
      <w:r>
        <w:rPr>
          <w:rFonts w:ascii="微软雅黑" w:hAnsi="微软雅黑" w:eastAsia="微软雅黑" w:cs="微软雅黑"/>
          <w:spacing w:val="9"/>
          <w:position w:val="18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2"/>
          <w:position w:val="18"/>
          <w:sz w:val="24"/>
          <w:szCs w:val="24"/>
        </w:rPr>
        <w:t>《水电工程地质勘察规范》(GB</w:t>
      </w:r>
      <w:r>
        <w:rPr>
          <w:rFonts w:ascii="微软雅黑" w:hAnsi="微软雅黑" w:eastAsia="微软雅黑" w:cs="微软雅黑"/>
          <w:spacing w:val="23"/>
          <w:w w:val="101"/>
          <w:position w:val="1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position w:val="18"/>
          <w:sz w:val="24"/>
          <w:szCs w:val="24"/>
        </w:rPr>
        <w:t>505</w:t>
      </w:r>
      <w:r>
        <w:rPr>
          <w:rFonts w:ascii="微软雅黑" w:hAnsi="微软雅黑" w:eastAsia="微软雅黑" w:cs="微软雅黑"/>
          <w:spacing w:val="-3"/>
          <w:position w:val="18"/>
          <w:sz w:val="24"/>
          <w:szCs w:val="24"/>
        </w:rPr>
        <w:t>48-2011)</w:t>
      </w:r>
    </w:p>
    <w:p>
      <w:pPr>
        <w:spacing w:before="1" w:line="220" w:lineRule="auto"/>
        <w:ind w:left="52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（6）</w:t>
      </w:r>
      <w:r>
        <w:rPr>
          <w:rFonts w:ascii="微软雅黑" w:hAnsi="微软雅黑" w:eastAsia="微软雅黑" w:cs="微软雅黑"/>
          <w:spacing w:val="14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《水电工程测量规范》(GB50586-2011)</w:t>
      </w:r>
    </w:p>
    <w:p>
      <w:pPr>
        <w:spacing w:before="140" w:line="221" w:lineRule="auto"/>
        <w:ind w:left="52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6"/>
          <w:sz w:val="24"/>
          <w:szCs w:val="24"/>
        </w:rPr>
        <w:t>（三）评价目的</w:t>
      </w:r>
    </w:p>
    <w:p>
      <w:pPr>
        <w:spacing w:before="140" w:line="269" w:lineRule="auto"/>
        <w:ind w:left="3" w:right="67" w:firstLine="48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根据《中华人民共和国水法》第四十八条规定:直接从江河、湖泊或者地下取用水资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源的单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位和个人，应当按照国家取水许可制度和水资源有偿使用制度的规定，向水行政主管部门申请</w:t>
      </w:r>
    </w:p>
    <w:p>
      <w:pPr>
        <w:spacing w:before="1" w:line="183" w:lineRule="auto"/>
        <w:ind w:left="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4"/>
          <w:sz w:val="24"/>
          <w:szCs w:val="24"/>
        </w:rPr>
        <w:t>领取取水许可证</w:t>
      </w:r>
      <w:r>
        <w:rPr>
          <w:rFonts w:ascii="微软雅黑" w:hAnsi="微软雅黑" w:eastAsia="微软雅黑" w:cs="微软雅黑"/>
          <w:spacing w:val="-2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，并缴纳水资源费</w:t>
      </w:r>
      <w:r>
        <w:rPr>
          <w:rFonts w:ascii="微软雅黑" w:hAnsi="微软雅黑" w:eastAsia="微软雅黑" w:cs="微软雅黑"/>
          <w:spacing w:val="-3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，取得取水权。</w:t>
      </w:r>
    </w:p>
    <w:p>
      <w:pPr>
        <w:spacing w:before="157" w:line="221" w:lineRule="auto"/>
        <w:ind w:left="52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（四）评价工作重点</w:t>
      </w:r>
    </w:p>
    <w:p>
      <w:pPr>
        <w:spacing w:before="140" w:line="221" w:lineRule="auto"/>
        <w:jc w:val="righ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7"/>
          <w:sz w:val="24"/>
          <w:szCs w:val="24"/>
        </w:rPr>
        <w:t>（一）与取用水相关的水利规划。包括区域供水工程规划、引水调水规划、水库建设规划、</w:t>
      </w:r>
    </w:p>
    <w:p>
      <w:pPr>
        <w:spacing w:line="221" w:lineRule="auto"/>
        <w:rPr>
          <w:rFonts w:ascii="微软雅黑" w:hAnsi="微软雅黑" w:eastAsia="微软雅黑" w:cs="微软雅黑"/>
          <w:sz w:val="24"/>
          <w:szCs w:val="24"/>
        </w:rPr>
        <w:sectPr>
          <w:headerReference r:id="rId6" w:type="default"/>
          <w:footerReference r:id="rId7" w:type="default"/>
          <w:pgSz w:w="11906" w:h="16839"/>
          <w:pgMar w:top="1091" w:right="781" w:bottom="1362" w:left="1275" w:header="585" w:footer="1200" w:gutter="0"/>
          <w:cols w:space="720" w:num="1"/>
        </w:sectPr>
      </w:pPr>
    </w:p>
    <w:p>
      <w:pPr>
        <w:pStyle w:val="3"/>
        <w:spacing w:line="390" w:lineRule="auto"/>
      </w:pPr>
    </w:p>
    <w:p>
      <w:pPr>
        <w:spacing w:before="103" w:line="183" w:lineRule="auto"/>
        <w:ind w:left="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灌区建设规划等。</w:t>
      </w:r>
    </w:p>
    <w:p>
      <w:pPr>
        <w:spacing w:before="159" w:line="485" w:lineRule="exact"/>
        <w:jc w:val="righ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position w:val="15"/>
          <w:sz w:val="24"/>
          <w:szCs w:val="24"/>
        </w:rPr>
        <w:t>（二）与取用水相关的水利工程项目。包括蓄水</w:t>
      </w:r>
      <w:r>
        <w:rPr>
          <w:rFonts w:ascii="微软雅黑" w:hAnsi="微软雅黑" w:eastAsia="微软雅黑" w:cs="微软雅黑"/>
          <w:spacing w:val="-3"/>
          <w:position w:val="15"/>
          <w:sz w:val="24"/>
          <w:szCs w:val="24"/>
        </w:rPr>
        <w:t>工程、引水工程、提水工程、调水工程、</w:t>
      </w:r>
    </w:p>
    <w:p>
      <w:pPr>
        <w:spacing w:before="1" w:line="182" w:lineRule="auto"/>
        <w:ind w:left="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地下水利用工程等。</w:t>
      </w:r>
    </w:p>
    <w:p>
      <w:pPr>
        <w:spacing w:before="159" w:line="485" w:lineRule="exact"/>
        <w:ind w:right="7"/>
        <w:jc w:val="righ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position w:val="15"/>
          <w:sz w:val="24"/>
          <w:szCs w:val="24"/>
        </w:rPr>
        <w:t>（三）需开展水资源论证的相关规划。包括城镇新区规划、工业园区规划、经济技术开发</w:t>
      </w:r>
    </w:p>
    <w:p>
      <w:pPr>
        <w:spacing w:line="184" w:lineRule="auto"/>
        <w:ind w:left="2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区规划、高耗水行业的专项规划、涉及取用水的相关产业发展规划等。</w:t>
      </w:r>
    </w:p>
    <w:p>
      <w:pPr>
        <w:spacing w:before="157" w:line="486" w:lineRule="exact"/>
        <w:ind w:right="7"/>
        <w:jc w:val="righ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position w:val="15"/>
          <w:sz w:val="24"/>
          <w:szCs w:val="24"/>
        </w:rPr>
        <w:t>（四）办理取水许可的非水利建设项目。包括直接从江河、湖泊、地下以及水库、渠道等</w:t>
      </w:r>
    </w:p>
    <w:p>
      <w:pPr>
        <w:spacing w:before="1" w:line="182" w:lineRule="auto"/>
        <w:ind w:left="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取水</w:t>
      </w:r>
      <w:r>
        <w:rPr>
          <w:rFonts w:ascii="微软雅黑" w:hAnsi="微软雅黑" w:eastAsia="微软雅黑" w:cs="微软雅黑"/>
          <w:spacing w:val="-3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，并需要申请取水许可的非水利建设项目。</w:t>
      </w:r>
    </w:p>
    <w:p>
      <w:pPr>
        <w:spacing w:before="203" w:line="473" w:lineRule="exact"/>
        <w:ind w:left="48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position w:val="17"/>
          <w:sz w:val="24"/>
          <w:szCs w:val="24"/>
        </w:rPr>
        <w:t>从城市公共管网等取水的高耗水建设项目宜参照本意见开展节</w:t>
      </w:r>
      <w:r>
        <w:rPr>
          <w:rFonts w:ascii="微软雅黑" w:hAnsi="微软雅黑" w:eastAsia="微软雅黑" w:cs="微软雅黑"/>
          <w:spacing w:val="-1"/>
          <w:position w:val="17"/>
          <w:sz w:val="24"/>
          <w:szCs w:val="24"/>
        </w:rPr>
        <w:t>水评价。</w:t>
      </w:r>
    </w:p>
    <w:p>
      <w:pPr>
        <w:spacing w:before="1" w:line="220" w:lineRule="auto"/>
        <w:ind w:left="52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4"/>
          <w:sz w:val="24"/>
          <w:szCs w:val="24"/>
        </w:rPr>
        <w:t>（五）防治目标、责任范围</w:t>
      </w:r>
    </w:p>
    <w:p>
      <w:pPr>
        <w:spacing w:before="184" w:line="442" w:lineRule="exact"/>
        <w:ind w:right="7"/>
        <w:jc w:val="righ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position w:val="15"/>
          <w:sz w:val="24"/>
          <w:szCs w:val="24"/>
        </w:rPr>
        <w:t>一是规定地方人民政府对本行政区域内的地下水管理负责，明确具体的地下水管理保护责</w:t>
      </w:r>
    </w:p>
    <w:p>
      <w:pPr>
        <w:spacing w:before="2" w:line="182" w:lineRule="auto"/>
        <w:ind w:left="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4"/>
          <w:sz w:val="24"/>
          <w:szCs w:val="24"/>
        </w:rPr>
        <w:t>任</w:t>
      </w:r>
      <w:r>
        <w:rPr>
          <w:rFonts w:ascii="微软雅黑" w:hAnsi="微软雅黑" w:eastAsia="微软雅黑" w:cs="微软雅黑"/>
          <w:spacing w:val="-2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，要求维持地下水合理水位</w:t>
      </w:r>
      <w:r>
        <w:rPr>
          <w:rFonts w:ascii="微软雅黑" w:hAnsi="微软雅黑" w:eastAsia="微软雅黑" w:cs="微软雅黑"/>
          <w:spacing w:val="-3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，保护地下水水质。</w:t>
      </w:r>
    </w:p>
    <w:p>
      <w:pPr>
        <w:spacing w:before="202" w:line="183" w:lineRule="auto"/>
        <w:ind w:left="48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二是根据有关法律法规和部门“三定”规定</w:t>
      </w:r>
      <w:r>
        <w:rPr>
          <w:rFonts w:ascii="微软雅黑" w:hAnsi="微软雅黑" w:eastAsia="微软雅黑" w:cs="微软雅黑"/>
          <w:spacing w:val="-3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，规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定了有关部门的工作职责。</w:t>
      </w:r>
    </w:p>
    <w:p>
      <w:pPr>
        <w:spacing w:before="204" w:line="444" w:lineRule="exact"/>
        <w:ind w:right="7"/>
        <w:jc w:val="righ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5"/>
          <w:position w:val="15"/>
          <w:sz w:val="24"/>
          <w:szCs w:val="24"/>
        </w:rPr>
        <w:t>三是明确地下水开发利用主体承担地下水取</w:t>
      </w:r>
      <w:r>
        <w:rPr>
          <w:rFonts w:ascii="微软雅黑" w:hAnsi="微软雅黑" w:eastAsia="微软雅黑" w:cs="微软雅黑"/>
          <w:spacing w:val="4"/>
          <w:position w:val="15"/>
          <w:sz w:val="24"/>
          <w:szCs w:val="24"/>
        </w:rPr>
        <w:t>水工程管理、节约保护和防止污染等方面责</w:t>
      </w:r>
    </w:p>
    <w:p>
      <w:pPr>
        <w:spacing w:before="206" w:line="181" w:lineRule="auto"/>
        <w:ind w:left="7"/>
        <w:outlineLvl w:val="0"/>
        <w:rPr>
          <w:rFonts w:ascii="微软雅黑" w:hAnsi="微软雅黑" w:eastAsia="微软雅黑" w:cs="微软雅黑"/>
          <w:b/>
          <w:bCs/>
          <w:spacing w:val="-2"/>
          <w:sz w:val="24"/>
          <w:szCs w:val="24"/>
        </w:rPr>
      </w:pPr>
      <w:r>
        <w:rPr>
          <w:rFonts w:ascii="微软雅黑" w:hAnsi="微软雅黑" w:eastAsia="微软雅黑" w:cs="微软雅黑"/>
          <w:spacing w:val="4"/>
          <w:sz w:val="24"/>
          <w:szCs w:val="24"/>
        </w:rPr>
        <w:t>任。</w:t>
      </w:r>
    </w:p>
    <w:p>
      <w:pPr>
        <w:numPr>
          <w:ilvl w:val="0"/>
          <w:numId w:val="1"/>
        </w:numPr>
        <w:spacing w:before="206" w:line="181" w:lineRule="auto"/>
        <w:ind w:left="7"/>
        <w:outlineLvl w:val="0"/>
        <w:rPr>
          <w:rFonts w:hint="eastAsia" w:ascii="微软雅黑" w:hAnsi="微软雅黑" w:eastAsia="微软雅黑" w:cs="微软雅黑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4"/>
          <w:szCs w:val="24"/>
          <w:lang w:val="en-US" w:eastAsia="zh-CN"/>
        </w:rPr>
        <w:t>编制资质及要求</w:t>
      </w:r>
    </w:p>
    <w:p>
      <w:pPr>
        <w:numPr>
          <w:ilvl w:val="0"/>
          <w:numId w:val="0"/>
        </w:numPr>
        <w:spacing w:before="206" w:line="181" w:lineRule="auto"/>
        <w:ind w:firstLine="480" w:firstLineChars="200"/>
        <w:outlineLvl w:val="0"/>
        <w:rPr>
          <w:rFonts w:hint="default" w:ascii="微软雅黑" w:hAnsi="微软雅黑" w:eastAsia="微软雅黑" w:cs="微软雅黑"/>
          <w:position w:val="17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position w:val="17"/>
          <w:sz w:val="24"/>
          <w:szCs w:val="24"/>
          <w:lang w:val="en-US" w:eastAsia="zh-CN"/>
        </w:rPr>
        <w:t>编制人</w:t>
      </w:r>
      <w:bookmarkStart w:id="8" w:name="_GoBack"/>
      <w:r>
        <w:rPr>
          <w:rFonts w:hint="eastAsia" w:ascii="微软雅黑" w:hAnsi="微软雅黑" w:eastAsia="微软雅黑" w:cs="微软雅黑"/>
          <w:position w:val="17"/>
          <w:sz w:val="24"/>
          <w:szCs w:val="24"/>
          <w:lang w:val="en-US" w:eastAsia="zh-CN"/>
        </w:rPr>
        <w:t>需具备水资源论证乙级以上资质；编制成果报告通过隆林县水利局认可，并可用于办理取水许可证。</w:t>
      </w:r>
    </w:p>
    <w:bookmarkEnd w:id="8"/>
    <w:p>
      <w:pPr>
        <w:spacing w:before="206" w:line="181" w:lineRule="auto"/>
        <w:ind w:left="7"/>
        <w:outlineLvl w:val="0"/>
        <w:rPr>
          <w:rFonts w:ascii="微软雅黑" w:hAnsi="微软雅黑" w:eastAsia="微软雅黑" w:cs="微软雅黑"/>
          <w:sz w:val="24"/>
          <w:szCs w:val="24"/>
        </w:rPr>
      </w:pPr>
      <w:bookmarkStart w:id="2" w:name="bookmark3"/>
      <w:bookmarkEnd w:id="2"/>
      <w:r>
        <w:rPr>
          <w:rFonts w:hint="eastAsia" w:ascii="微软雅黑" w:hAnsi="微软雅黑" w:eastAsia="微软雅黑" w:cs="微软雅黑"/>
          <w:b/>
          <w:bCs/>
          <w:spacing w:val="-2"/>
          <w:sz w:val="24"/>
          <w:szCs w:val="24"/>
          <w:lang w:val="en-US" w:eastAsia="zh-CN"/>
        </w:rPr>
        <w:t>四</w:t>
      </w:r>
      <w:r>
        <w:rPr>
          <w:rFonts w:ascii="微软雅黑" w:hAnsi="微软雅黑" w:eastAsia="微软雅黑" w:cs="微软雅黑"/>
          <w:b/>
          <w:bCs/>
          <w:spacing w:val="-2"/>
          <w:sz w:val="24"/>
          <w:szCs w:val="24"/>
        </w:rPr>
        <w:t>、工期</w:t>
      </w:r>
    </w:p>
    <w:p>
      <w:pPr>
        <w:spacing w:before="204" w:line="518" w:lineRule="exact"/>
        <w:ind w:left="48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position w:val="21"/>
          <w:sz w:val="24"/>
          <w:szCs w:val="24"/>
        </w:rPr>
        <w:t>计划开工日期</w:t>
      </w:r>
      <w:r>
        <w:rPr>
          <w:rFonts w:ascii="微软雅黑" w:hAnsi="微软雅黑" w:eastAsia="微软雅黑" w:cs="微软雅黑"/>
          <w:spacing w:val="-25"/>
          <w:position w:val="2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position w:val="21"/>
          <w:sz w:val="24"/>
          <w:szCs w:val="24"/>
        </w:rPr>
        <w:t>：2023年9月25日</w:t>
      </w:r>
    </w:p>
    <w:p>
      <w:pPr>
        <w:spacing w:before="1" w:line="183" w:lineRule="auto"/>
        <w:ind w:left="48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计划竣工日期</w:t>
      </w:r>
      <w:r>
        <w:rPr>
          <w:rFonts w:ascii="微软雅黑" w:hAnsi="微软雅黑" w:eastAsia="微软雅黑" w:cs="微软雅黑"/>
          <w:spacing w:val="-2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：2023年10月25日</w:t>
      </w:r>
    </w:p>
    <w:p>
      <w:pPr>
        <w:spacing w:before="205" w:line="225" w:lineRule="auto"/>
        <w:ind w:left="4" w:right="7" w:firstLine="48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工期顺延：如发生以下情况造成竣工日期推迟，乙方须及时以书面报告形式将实际情况上</w:t>
      </w:r>
      <w:r>
        <w:rPr>
          <w:rFonts w:ascii="微软雅黑" w:hAnsi="微软雅黑" w:eastAsia="微软雅黑" w:cs="微软雅黑"/>
          <w:spacing w:val="1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报甲方</w:t>
      </w:r>
      <w:r>
        <w:rPr>
          <w:rFonts w:ascii="微软雅黑" w:hAnsi="微软雅黑" w:eastAsia="微软雅黑" w:cs="微软雅黑"/>
          <w:spacing w:val="-3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，经甲方书面盖章确认后</w:t>
      </w:r>
      <w:r>
        <w:rPr>
          <w:rFonts w:ascii="微软雅黑" w:hAnsi="微软雅黑" w:eastAsia="微软雅黑" w:cs="微软雅黑"/>
          <w:spacing w:val="-3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，工期相应顺延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，（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除以下原因外</w:t>
      </w:r>
      <w:r>
        <w:rPr>
          <w:rFonts w:ascii="微软雅黑" w:hAnsi="微软雅黑" w:eastAsia="微软雅黑" w:cs="微软雅黑"/>
          <w:spacing w:val="-3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，工期一律不予顺延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）：</w:t>
      </w:r>
    </w:p>
    <w:p>
      <w:pPr>
        <w:spacing w:before="184" w:line="183" w:lineRule="auto"/>
        <w:ind w:left="50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1、</w:t>
      </w:r>
      <w:r>
        <w:rPr>
          <w:rFonts w:ascii="微软雅黑" w:hAnsi="微软雅黑" w:eastAsia="微软雅黑" w:cs="微软雅黑"/>
          <w:spacing w:val="51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遇到元旦春节重要节假日或重大设计变更影响乙方连续施工的；</w:t>
      </w:r>
    </w:p>
    <w:p>
      <w:pPr>
        <w:spacing w:before="162" w:line="238" w:lineRule="auto"/>
        <w:ind w:left="3" w:right="45" w:firstLine="49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2、</w:t>
      </w:r>
      <w:r>
        <w:rPr>
          <w:rFonts w:ascii="微软雅黑" w:hAnsi="微软雅黑" w:eastAsia="微软雅黑" w:cs="微软雅黑"/>
          <w:spacing w:val="5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不可抗力因素(指在施工周期中发生战争、动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乱、空中飞行物体坠落或12级以上的大</w:t>
      </w:r>
      <w:r>
        <w:rPr>
          <w:rFonts w:ascii="微软雅黑" w:hAnsi="微软雅黑" w:eastAsia="微软雅黑" w:cs="微软雅黑"/>
          <w:sz w:val="24"/>
          <w:szCs w:val="24"/>
        </w:rPr>
        <w:t xml:space="preserve"> 风、7级以上的地震、持续20天每天达到200毫米的降水等事件)影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响施工的。</w:t>
      </w:r>
    </w:p>
    <w:p>
      <w:pPr>
        <w:spacing w:before="182" w:line="184" w:lineRule="auto"/>
        <w:ind w:left="15"/>
        <w:outlineLvl w:val="0"/>
        <w:rPr>
          <w:rFonts w:ascii="微软雅黑" w:hAnsi="微软雅黑" w:eastAsia="微软雅黑" w:cs="微软雅黑"/>
          <w:sz w:val="24"/>
          <w:szCs w:val="24"/>
        </w:rPr>
      </w:pPr>
      <w:bookmarkStart w:id="3" w:name="bookmark5"/>
      <w:bookmarkEnd w:id="3"/>
      <w:bookmarkStart w:id="4" w:name="bookmark4"/>
      <w:bookmarkEnd w:id="4"/>
      <w:r>
        <w:rPr>
          <w:rFonts w:hint="eastAsia" w:ascii="微软雅黑" w:hAnsi="微软雅黑" w:eastAsia="微软雅黑" w:cs="微软雅黑"/>
          <w:b/>
          <w:bCs/>
          <w:spacing w:val="-3"/>
          <w:sz w:val="24"/>
          <w:szCs w:val="24"/>
          <w:lang w:val="en-US" w:eastAsia="zh-CN"/>
        </w:rPr>
        <w:t>五</w:t>
      </w:r>
      <w:r>
        <w:rPr>
          <w:rFonts w:ascii="微软雅黑" w:hAnsi="微软雅黑" w:eastAsia="微软雅黑" w:cs="微软雅黑"/>
          <w:b/>
          <w:bCs/>
          <w:spacing w:val="-3"/>
          <w:sz w:val="24"/>
          <w:szCs w:val="24"/>
        </w:rPr>
        <w:t>、质量标准</w:t>
      </w:r>
    </w:p>
    <w:p>
      <w:pPr>
        <w:spacing w:before="258" w:line="624" w:lineRule="exact"/>
        <w:ind w:left="50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position w:val="30"/>
          <w:sz w:val="24"/>
          <w:szCs w:val="24"/>
        </w:rPr>
        <w:t>1、符合有关法律、法规、规章和规范性文件；</w:t>
      </w:r>
    </w:p>
    <w:p>
      <w:pPr>
        <w:spacing w:line="184" w:lineRule="auto"/>
        <w:ind w:left="49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2、符合国家产业政策；</w:t>
      </w:r>
    </w:p>
    <w:p>
      <w:pPr>
        <w:spacing w:before="308" w:line="184" w:lineRule="auto"/>
        <w:ind w:left="49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3、符合流域、</w:t>
      </w:r>
      <w:r>
        <w:rPr>
          <w:rFonts w:ascii="微软雅黑" w:hAnsi="微软雅黑" w:eastAsia="微软雅黑" w:cs="微软雅黑"/>
          <w:spacing w:val="-3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区域水资源规划、有关技术标准、规程和规范；</w:t>
      </w:r>
    </w:p>
    <w:p>
      <w:pPr>
        <w:spacing w:before="308" w:line="184" w:lineRule="auto"/>
        <w:ind w:left="482"/>
        <w:rPr>
          <w:rFonts w:ascii="微软雅黑" w:hAnsi="微软雅黑" w:eastAsia="微软雅黑" w:cs="微软雅黑"/>
          <w:spacing w:val="-1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4、符合国家流域及区域水资源开发、利用、节约、保护、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配置政策；</w:t>
      </w:r>
    </w:p>
    <w:p>
      <w:pPr>
        <w:pStyle w:val="2"/>
      </w:pPr>
    </w:p>
    <w:p>
      <w:pPr>
        <w:spacing w:before="103" w:line="184" w:lineRule="auto"/>
        <w:ind w:firstLine="472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5、符合流域、</w:t>
      </w:r>
      <w:r>
        <w:rPr>
          <w:rFonts w:ascii="微软雅黑" w:hAnsi="微软雅黑" w:eastAsia="微软雅黑" w:cs="微软雅黑"/>
          <w:spacing w:val="-4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区域有关水量分配方案或者分水协议；</w:t>
      </w:r>
    </w:p>
    <w:p>
      <w:pPr>
        <w:spacing w:before="333" w:line="183" w:lineRule="auto"/>
        <w:ind w:left="5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pacing w:val="-1"/>
          <w:sz w:val="24"/>
          <w:szCs w:val="24"/>
          <w:lang w:val="en-US" w:eastAsia="zh-CN"/>
        </w:rPr>
        <w:t>六</w:t>
      </w: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、报告交付</w:t>
      </w:r>
    </w:p>
    <w:p>
      <w:pPr>
        <w:spacing w:before="202" w:line="184" w:lineRule="auto"/>
        <w:ind w:left="505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1、合同生效、</w:t>
      </w:r>
      <w:r>
        <w:rPr>
          <w:rFonts w:ascii="微软雅黑" w:hAnsi="微软雅黑" w:eastAsia="微软雅黑" w:cs="微软雅黑"/>
          <w:spacing w:val="-4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甲方提交编制方案所需的资料后</w:t>
      </w:r>
      <w:r>
        <w:rPr>
          <w:rFonts w:ascii="微软雅黑" w:hAnsi="微软雅黑" w:eastAsia="微软雅黑" w:cs="微软雅黑"/>
          <w:spacing w:val="-3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，乙方按约定时间派驻技术人员</w:t>
      </w:r>
      <w:r>
        <w:rPr>
          <w:rFonts w:ascii="微软雅黑" w:hAnsi="微软雅黑" w:eastAsia="微软雅黑" w:cs="微软雅黑"/>
          <w:spacing w:val="-3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，完成各</w:t>
      </w:r>
    </w:p>
    <w:p>
      <w:pPr>
        <w:spacing w:before="124" w:line="184" w:lineRule="auto"/>
        <w:ind w:left="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项材料整理和编制工作；</w:t>
      </w:r>
      <w:r>
        <w:rPr>
          <w:rFonts w:ascii="微软雅黑" w:hAnsi="微软雅黑" w:eastAsia="微软雅黑" w:cs="微软雅黑"/>
          <w:spacing w:val="-4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甲方在合同生效后 10 个工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作日内提交齐全乙方所需资料。</w:t>
      </w:r>
    </w:p>
    <w:p>
      <w:pPr>
        <w:spacing w:before="202" w:line="184" w:lineRule="auto"/>
        <w:ind w:left="494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2、乙方向甲方提交通过审批的建设项目水资源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论证报告正式版四份</w:t>
      </w:r>
      <w:r>
        <w:rPr>
          <w:rFonts w:ascii="微软雅黑" w:hAnsi="微软雅黑" w:eastAsia="微软雅黑" w:cs="微软雅黑"/>
          <w:spacing w:val="-3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，电子版一份。</w:t>
      </w:r>
    </w:p>
    <w:p>
      <w:pPr>
        <w:spacing w:before="203" w:line="184" w:lineRule="auto"/>
        <w:ind w:left="4"/>
        <w:outlineLvl w:val="0"/>
        <w:rPr>
          <w:rFonts w:ascii="微软雅黑" w:hAnsi="微软雅黑" w:eastAsia="微软雅黑" w:cs="微软雅黑"/>
          <w:sz w:val="24"/>
          <w:szCs w:val="24"/>
        </w:rPr>
      </w:pPr>
      <w:bookmarkStart w:id="5" w:name="bookmark7"/>
      <w:bookmarkEnd w:id="5"/>
      <w:bookmarkStart w:id="6" w:name="bookmark6"/>
      <w:bookmarkEnd w:id="6"/>
      <w:r>
        <w:rPr>
          <w:rFonts w:hint="eastAsia" w:ascii="微软雅黑" w:hAnsi="微软雅黑" w:eastAsia="微软雅黑" w:cs="微软雅黑"/>
          <w:b/>
          <w:bCs/>
          <w:spacing w:val="-1"/>
          <w:sz w:val="24"/>
          <w:szCs w:val="24"/>
          <w:lang w:val="en-US" w:eastAsia="zh-CN"/>
        </w:rPr>
        <w:t>七</w:t>
      </w: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、乙方的责任和义务</w:t>
      </w:r>
    </w:p>
    <w:p>
      <w:pPr>
        <w:spacing w:before="157" w:line="225" w:lineRule="auto"/>
        <w:ind w:left="505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1、及时编制《建设项目水资源论证报告》</w:t>
      </w:r>
      <w:r>
        <w:rPr>
          <w:rFonts w:ascii="微软雅黑" w:hAnsi="微软雅黑" w:eastAsia="微软雅黑" w:cs="微软雅黑"/>
          <w:spacing w:val="-2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，通过专家评审并符合县水利局办理取水证需</w:t>
      </w:r>
    </w:p>
    <w:p>
      <w:pPr>
        <w:spacing w:before="99" w:line="184" w:lineRule="auto"/>
        <w:ind w:left="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求的</w:t>
      </w:r>
      <w:r>
        <w:rPr>
          <w:rFonts w:ascii="微软雅黑" w:hAnsi="微软雅黑" w:eastAsia="微软雅黑" w:cs="微软雅黑"/>
          <w:spacing w:val="-2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，通过后</w:t>
      </w:r>
      <w:r>
        <w:rPr>
          <w:rFonts w:ascii="微软雅黑" w:hAnsi="微软雅黑" w:eastAsia="微软雅黑" w:cs="微软雅黑"/>
          <w:spacing w:val="-3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，报甲方审查同意后实施。</w:t>
      </w:r>
    </w:p>
    <w:p>
      <w:pPr>
        <w:spacing w:before="204" w:line="183" w:lineRule="auto"/>
        <w:ind w:left="494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2、严格按有关规程规范组织实施</w:t>
      </w:r>
      <w:r>
        <w:rPr>
          <w:rFonts w:ascii="微软雅黑" w:hAnsi="微软雅黑" w:eastAsia="微软雅黑" w:cs="微软雅黑"/>
          <w:spacing w:val="-3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，确保工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期和质量。</w:t>
      </w:r>
    </w:p>
    <w:p>
      <w:pPr>
        <w:spacing w:before="200" w:line="184" w:lineRule="auto"/>
        <w:ind w:left="497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3、爱护甲方提供的生产、生活设施、设备</w:t>
      </w:r>
      <w:r>
        <w:rPr>
          <w:rFonts w:ascii="微软雅黑" w:hAnsi="微软雅黑" w:eastAsia="微软雅黑" w:cs="微软雅黑"/>
          <w:spacing w:val="-3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，如有损坏照价赔偿。</w:t>
      </w:r>
    </w:p>
    <w:p>
      <w:pPr>
        <w:spacing w:before="203" w:line="184" w:lineRule="auto"/>
        <w:ind w:left="482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4、作业期间配备专职技术负责及安全员负责现场技术和安全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管理工作。</w:t>
      </w:r>
    </w:p>
    <w:p>
      <w:pPr>
        <w:spacing w:before="203" w:line="184" w:lineRule="auto"/>
        <w:ind w:left="501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5、教育职工遵纪守法</w:t>
      </w:r>
      <w:r>
        <w:rPr>
          <w:rFonts w:ascii="微软雅黑" w:hAnsi="微软雅黑" w:eastAsia="微软雅黑" w:cs="微软雅黑"/>
          <w:spacing w:val="-3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，遵守生产生活区民风民俗</w:t>
      </w:r>
      <w:r>
        <w:rPr>
          <w:rFonts w:ascii="微软雅黑" w:hAnsi="微软雅黑" w:eastAsia="微软雅黑" w:cs="微软雅黑"/>
          <w:spacing w:val="-3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，做到安全文明生产。</w:t>
      </w:r>
    </w:p>
    <w:p>
      <w:pPr>
        <w:spacing w:before="203" w:line="184" w:lineRule="auto"/>
        <w:ind w:left="494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6、乙方在技术服务过程中所获得的所有原始资料、实物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成果归甲方所有</w:t>
      </w:r>
      <w:r>
        <w:rPr>
          <w:rFonts w:ascii="微软雅黑" w:hAnsi="微软雅黑" w:eastAsia="微软雅黑" w:cs="微软雅黑"/>
          <w:spacing w:val="-3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，并承担保密义</w:t>
      </w:r>
    </w:p>
    <w:p>
      <w:pPr>
        <w:spacing w:before="123" w:line="443" w:lineRule="exact"/>
        <w:ind w:left="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position w:val="15"/>
          <w:sz w:val="24"/>
          <w:szCs w:val="24"/>
        </w:rPr>
        <w:t>务，未经甲方同意不得将本项目的任何资料</w:t>
      </w:r>
      <w:r>
        <w:rPr>
          <w:rFonts w:ascii="微软雅黑" w:hAnsi="微软雅黑" w:eastAsia="微软雅黑" w:cs="微软雅黑"/>
          <w:spacing w:val="-2"/>
          <w:position w:val="15"/>
          <w:sz w:val="24"/>
          <w:szCs w:val="24"/>
        </w:rPr>
        <w:t>、实物和成果擅自提供给第三方。保密义务不因合</w:t>
      </w:r>
    </w:p>
    <w:p>
      <w:pPr>
        <w:spacing w:line="183" w:lineRule="auto"/>
        <w:ind w:left="2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同的变更、解除而失效。</w:t>
      </w:r>
    </w:p>
    <w:p>
      <w:pPr>
        <w:spacing w:before="201" w:line="184" w:lineRule="auto"/>
        <w:ind w:left="493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7、乙方在甲方区域工作期间的人、财、物安全由乙方自行负责。</w:t>
      </w:r>
    </w:p>
    <w:p>
      <w:pPr>
        <w:spacing w:before="204" w:line="183" w:lineRule="auto"/>
        <w:ind w:left="5"/>
        <w:outlineLvl w:val="0"/>
        <w:rPr>
          <w:rFonts w:ascii="微软雅黑" w:hAnsi="微软雅黑" w:eastAsia="微软雅黑" w:cs="微软雅黑"/>
          <w:sz w:val="24"/>
          <w:szCs w:val="24"/>
        </w:rPr>
      </w:pPr>
      <w:bookmarkStart w:id="7" w:name="bookmark8"/>
      <w:bookmarkEnd w:id="7"/>
      <w:r>
        <w:rPr>
          <w:rFonts w:hint="eastAsia" w:ascii="微软雅黑" w:hAnsi="微软雅黑" w:eastAsia="微软雅黑" w:cs="微软雅黑"/>
          <w:b/>
          <w:bCs/>
          <w:spacing w:val="-1"/>
          <w:sz w:val="24"/>
          <w:szCs w:val="24"/>
          <w:lang w:val="en-US" w:eastAsia="zh-CN"/>
        </w:rPr>
        <w:t>八</w:t>
      </w: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、甲方的责任和义务</w:t>
      </w:r>
    </w:p>
    <w:p>
      <w:pPr>
        <w:spacing w:before="203" w:line="184" w:lineRule="auto"/>
        <w:ind w:left="505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1、提供技术服务必要资料</w:t>
      </w:r>
      <w:r>
        <w:rPr>
          <w:rFonts w:ascii="微软雅黑" w:hAnsi="微软雅黑" w:eastAsia="微软雅黑" w:cs="微软雅黑"/>
          <w:spacing w:val="-3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，及时参与审查乙方提交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的技术方案。</w:t>
      </w:r>
    </w:p>
    <w:p>
      <w:pPr>
        <w:spacing w:before="206" w:line="182" w:lineRule="auto"/>
        <w:ind w:left="494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2、负责现场踏勘协调工作。</w:t>
      </w:r>
    </w:p>
    <w:p>
      <w:pPr>
        <w:spacing w:before="203" w:line="184" w:lineRule="auto"/>
        <w:ind w:left="497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3、按本合同相应条款约定及时进行服务费结算。</w:t>
      </w:r>
    </w:p>
    <w:p>
      <w:pPr>
        <w:spacing w:before="202" w:line="184" w:lineRule="auto"/>
        <w:ind w:left="482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4、</w:t>
      </w:r>
      <w:r>
        <w:rPr>
          <w:rFonts w:ascii="微软雅黑" w:hAnsi="微软雅黑" w:eastAsia="微软雅黑" w:cs="微软雅黑"/>
          <w:spacing w:val="-3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甲方负责协调地方关系、乙方工作环境</w:t>
      </w:r>
      <w:r>
        <w:rPr>
          <w:rFonts w:ascii="微软雅黑" w:hAnsi="微软雅黑" w:eastAsia="微软雅黑" w:cs="微软雅黑"/>
          <w:spacing w:val="-3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，保证项目实施的必要安全条件和工作环境。</w:t>
      </w:r>
    </w:p>
    <w:p>
      <w:pPr>
        <w:spacing w:before="202" w:line="183" w:lineRule="auto"/>
        <w:ind w:left="1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pacing w:val="-1"/>
          <w:sz w:val="24"/>
          <w:szCs w:val="24"/>
          <w:lang w:val="en-US" w:eastAsia="zh-CN"/>
        </w:rPr>
        <w:t>九</w:t>
      </w: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、违约责任</w:t>
      </w:r>
    </w:p>
    <w:p>
      <w:pPr>
        <w:spacing w:before="203" w:line="184" w:lineRule="auto"/>
        <w:ind w:left="505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1、</w:t>
      </w:r>
      <w:r>
        <w:rPr>
          <w:rFonts w:ascii="微软雅黑" w:hAnsi="微软雅黑" w:eastAsia="微软雅黑" w:cs="微软雅黑"/>
          <w:spacing w:val="-4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甲方根据乙方进度及时提供技术服务资料和地方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关系、工作环境等协调工作</w:t>
      </w:r>
      <w:r>
        <w:rPr>
          <w:rFonts w:ascii="微软雅黑" w:hAnsi="微软雅黑" w:eastAsia="微软雅黑" w:cs="微软雅黑"/>
          <w:spacing w:val="-3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，影响工</w:t>
      </w:r>
    </w:p>
    <w:p>
      <w:pPr>
        <w:spacing w:before="126" w:line="184" w:lineRule="auto"/>
        <w:ind w:left="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作进度</w:t>
      </w:r>
      <w:r>
        <w:rPr>
          <w:rFonts w:ascii="微软雅黑" w:hAnsi="微软雅黑" w:eastAsia="微软雅黑" w:cs="微软雅黑"/>
          <w:spacing w:val="-3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，乙方完成工期顺延</w:t>
      </w:r>
      <w:r>
        <w:rPr>
          <w:rFonts w:ascii="微软雅黑" w:hAnsi="微软雅黑" w:eastAsia="微软雅黑" w:cs="微软雅黑"/>
          <w:spacing w:val="-3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，并按合同相关约定赔偿乙方；</w:t>
      </w:r>
    </w:p>
    <w:p>
      <w:pPr>
        <w:spacing w:before="123" w:line="184" w:lineRule="auto"/>
        <w:ind w:left="494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2、乙方应按合同约定的要求按时完成技术服务工作</w:t>
      </w:r>
      <w:r>
        <w:rPr>
          <w:rFonts w:ascii="微软雅黑" w:hAnsi="微软雅黑" w:eastAsia="微软雅黑" w:cs="微软雅黑"/>
          <w:spacing w:val="-3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，因乙方原因未能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按时完成的，</w:t>
      </w:r>
      <w:r>
        <w:rPr>
          <w:rFonts w:ascii="微软雅黑" w:hAnsi="微软雅黑" w:eastAsia="微软雅黑" w:cs="微软雅黑"/>
          <w:spacing w:val="-4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甲方</w:t>
      </w:r>
    </w:p>
    <w:p>
      <w:pPr>
        <w:spacing w:before="81" w:line="225" w:lineRule="auto"/>
        <w:jc w:val="righ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有权终止本合同，且乙方需 10</w:t>
      </w:r>
      <w:r>
        <w:rPr>
          <w:rFonts w:ascii="微软雅黑" w:hAnsi="微软雅黑" w:eastAsia="微软雅黑" w:cs="微软雅黑"/>
          <w:spacing w:val="26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日内返还甲方已支付的费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用，并按合同总金额的 5%赔偿甲方。</w:t>
      </w:r>
    </w:p>
    <w:p>
      <w:pPr>
        <w:numPr>
          <w:ilvl w:val="0"/>
          <w:numId w:val="2"/>
        </w:numPr>
        <w:spacing w:before="100" w:line="183" w:lineRule="auto"/>
        <w:ind w:left="497"/>
        <w:outlineLvl w:val="0"/>
        <w:rPr>
          <w:rFonts w:hint="eastAsia" w:eastAsia="宋体"/>
          <w:lang w:val="en-US" w:eastAsia="zh-CN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双方违约给对方造成损失时，</w:t>
      </w:r>
      <w:r>
        <w:rPr>
          <w:rFonts w:ascii="微软雅黑" w:hAnsi="微软雅黑" w:eastAsia="微软雅黑" w:cs="微软雅黑"/>
          <w:spacing w:val="-4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由违约方承担损失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eastAsia="zh-CN"/>
        </w:rPr>
        <w:t>。</w:t>
      </w:r>
      <w:r>
        <w:rPr>
          <w:rFonts w:hint="eastAsia" w:eastAsia="宋体"/>
          <w:lang w:val="en-US" w:eastAsia="zh-CN"/>
        </w:rPr>
        <w:t xml:space="preserve">   </w:t>
      </w:r>
    </w:p>
    <w:p>
      <w:pPr>
        <w:pStyle w:val="3"/>
        <w:rPr>
          <w:rFonts w:hint="eastAsia" w:eastAsia="宋体"/>
          <w:lang w:val="en-US" w:eastAsia="zh-CN"/>
        </w:rPr>
      </w:pPr>
    </w:p>
    <w:p>
      <w:pPr>
        <w:pStyle w:val="3"/>
        <w:rPr>
          <w:rFonts w:hint="eastAsia" w:eastAsia="宋体"/>
          <w:lang w:val="en-US" w:eastAsia="zh-CN"/>
        </w:rPr>
      </w:pPr>
    </w:p>
    <w:p>
      <w:pPr>
        <w:pStyle w:val="3"/>
        <w:rPr>
          <w:rFonts w:hint="eastAsia" w:eastAsia="宋体"/>
          <w:lang w:val="en-US" w:eastAsia="zh-CN"/>
        </w:rPr>
      </w:pPr>
    </w:p>
    <w:p>
      <w:pPr>
        <w:ind w:firstLine="420" w:firstLineChars="200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>
      <w:pPr>
        <w:ind w:firstLine="420" w:firstLineChars="200"/>
        <w:jc w:val="right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jc w:val="right"/>
        <w:rPr>
          <w:rFonts w:hint="eastAsia" w:ascii="宋体" w:hAnsi="宋体" w:eastAsia="宋体" w:cs="宋体"/>
          <w:lang w:val="en-US" w:eastAsia="zh-CN"/>
        </w:rPr>
      </w:pPr>
    </w:p>
    <w:p>
      <w:pPr>
        <w:spacing w:before="126" w:line="184" w:lineRule="auto"/>
        <w:ind w:left="3"/>
        <w:rPr>
          <w:rFonts w:hint="eastAsia" w:ascii="微软雅黑" w:hAnsi="微软雅黑" w:eastAsia="微软雅黑" w:cs="微软雅黑"/>
          <w:spacing w:val="-3"/>
          <w:sz w:val="24"/>
          <w:szCs w:val="24"/>
          <w:lang w:val="en-US" w:eastAsia="zh-CN"/>
        </w:rPr>
      </w:pPr>
    </w:p>
    <w:p>
      <w:pPr>
        <w:spacing w:before="126" w:line="184" w:lineRule="auto"/>
        <w:ind w:left="3" w:firstLine="5616" w:firstLineChars="2400"/>
        <w:rPr>
          <w:rFonts w:hint="eastAsia" w:ascii="微软雅黑" w:hAnsi="微软雅黑" w:eastAsia="微软雅黑" w:cs="微软雅黑"/>
          <w:spacing w:val="-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-3"/>
          <w:sz w:val="24"/>
          <w:szCs w:val="24"/>
          <w:lang w:val="en-US" w:eastAsia="zh-CN"/>
        </w:rPr>
        <w:t xml:space="preserve">广西隆林百矿铝业有限公司 </w:t>
      </w:r>
    </w:p>
    <w:p>
      <w:pPr>
        <w:spacing w:before="126" w:line="184" w:lineRule="auto"/>
        <w:ind w:left="3" w:firstLine="234" w:firstLineChars="100"/>
        <w:rPr>
          <w:rFonts w:hint="eastAsia" w:ascii="微软雅黑" w:hAnsi="微软雅黑" w:eastAsia="微软雅黑" w:cs="微软雅黑"/>
          <w:spacing w:val="-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-3"/>
          <w:sz w:val="24"/>
          <w:szCs w:val="24"/>
          <w:lang w:val="en-US" w:eastAsia="zh-CN"/>
        </w:rPr>
        <w:t xml:space="preserve">                                                                                       2023年9月1日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</w:rPr>
        <w:t xml:space="preserve"> </w:t>
      </w:r>
    </w:p>
    <w:p>
      <w:pPr>
        <w:pStyle w:val="3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                                                  </w:t>
      </w:r>
    </w:p>
    <w:sectPr>
      <w:headerReference r:id="rId8" w:type="default"/>
      <w:footerReference r:id="rId9" w:type="default"/>
      <w:pgSz w:w="11906" w:h="16839"/>
      <w:pgMar w:top="1091" w:right="849" w:bottom="1362" w:left="1275" w:header="585" w:footer="12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86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8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85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85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5" w:lineRule="exact"/>
    </w:pPr>
    <w:r>
      <w:pict>
        <v:rect id="_x0000_s4097" o:spid="_x0000_s4097" o:spt="1" style="position:absolute;left:0pt;margin-left:63.8pt;margin-top:53.85pt;height:0.75pt;width:489.0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rPr>
        <w:position w:val="-9"/>
      </w:rPr>
      <w:drawing>
        <wp:inline distT="0" distB="0" distL="0" distR="0">
          <wp:extent cx="1075690" cy="29527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5944" cy="295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5" w:lineRule="exact"/>
    </w:pPr>
    <w:r>
      <w:pict>
        <v:rect id="_x0000_s4098" o:spid="_x0000_s4098" o:spt="1" style="position:absolute;left:0pt;margin-left:63.8pt;margin-top:53.85pt;height:0.75pt;width:489.05pt;mso-position-horizontal-relative:page;mso-position-vertical-relative:page;z-index:251660288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rPr>
        <w:position w:val="-9"/>
      </w:rPr>
      <w:drawing>
        <wp:inline distT="0" distB="0" distL="0" distR="0">
          <wp:extent cx="1075690" cy="295275"/>
          <wp:effectExtent l="0" t="0" r="0" b="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5944" cy="295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5" w:lineRule="exact"/>
    </w:pPr>
    <w:r>
      <w:pict>
        <v:rect id="_x0000_s4101" o:spid="_x0000_s4101" o:spt="1" style="position:absolute;left:0pt;margin-left:63.8pt;margin-top:53.85pt;height:0.75pt;width:489.0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rPr>
        <w:position w:val="-9"/>
      </w:rPr>
      <w:drawing>
        <wp:inline distT="0" distB="0" distL="0" distR="0">
          <wp:extent cx="1075690" cy="295275"/>
          <wp:effectExtent l="0" t="0" r="0" b="0"/>
          <wp:docPr id="1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5944" cy="295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DD62C6"/>
    <w:multiLevelType w:val="singleLevel"/>
    <w:tmpl w:val="CFDD62C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0407401"/>
    <w:multiLevelType w:val="singleLevel"/>
    <w:tmpl w:val="204074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compat>
    <w:spaceForUL/>
    <w:ulTrailSpace/>
    <w:useFELayout/>
    <w:compatSetting w:name="compatibilityMode" w:uri="http://schemas.microsoft.com/office/word" w:val="14"/>
  </w:compat>
  <w:docVars>
    <w:docVar w:name="commondata" w:val="eyJoZGlkIjoiMjU0ODJjYzU3MzEyYmI0YmIwYTljNDIzNzBjZDFmODUifQ=="/>
  </w:docVars>
  <w:rsids>
    <w:rsidRoot w:val="00000000"/>
    <w:rsid w:val="04675A50"/>
    <w:rsid w:val="05F9301F"/>
    <w:rsid w:val="0A9B6453"/>
    <w:rsid w:val="15FB179F"/>
    <w:rsid w:val="19650E4E"/>
    <w:rsid w:val="1A7A42A2"/>
    <w:rsid w:val="1D7C2114"/>
    <w:rsid w:val="2D1F486A"/>
    <w:rsid w:val="589F66DB"/>
    <w:rsid w:val="59C24AE1"/>
    <w:rsid w:val="61E37639"/>
    <w:rsid w:val="663A7A43"/>
    <w:rsid w:val="678C0773"/>
    <w:rsid w:val="6CA43FB2"/>
    <w:rsid w:val="74B9247B"/>
    <w:rsid w:val="76BD26F7"/>
    <w:rsid w:val="7B411D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098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1940</Words>
  <Characters>2049</Characters>
  <TotalTime>13</TotalTime>
  <ScaleCrop>false</ScaleCrop>
  <LinksUpToDate>false</LinksUpToDate>
  <CharactersWithSpaces>2135</CharactersWithSpaces>
  <Application>WPS Office_11.1.0.9912_F1E327BC-269C-435d-A152-05C5408002CA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2023-09-04T10:41:00Z</dcterms:created>
  <dc:creator>xb21cn</dc:creator>
  <cp:lastModifiedBy>相聚</cp:lastModifiedBy>
  <dcterms:modified xsi:type="dcterms:W3CDTF">2023-09-11T08:11:24Z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2023-09-11T14:59:05Z</vt:filetime>
  </property>
  <property fmtid="{D5CDD505-2E9C-101B-9397-08002B2CF9AE}" pid="4" name="KSOProductBuildVer">
    <vt:lpwstr>2052-11.1.0.9912</vt:lpwstr>
  </property>
  <property fmtid="{D5CDD505-2E9C-101B-9397-08002B2CF9AE}" pid="5" name="ICV">
    <vt:lpwstr>A499CFF32B4D47A4A9526CD345AA37EE_12</vt:lpwstr>
  </property>
</Properties>
</file>