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b/>
          <w:bCs/>
          <w:sz w:val="32"/>
          <w:szCs w:val="32"/>
          <w:lang w:val="en-US" w:eastAsia="zh-CN"/>
        </w:rPr>
      </w:pPr>
      <w:r>
        <w:rPr>
          <w:rFonts w:hint="eastAsia"/>
          <w:b/>
          <w:bCs/>
          <w:sz w:val="32"/>
          <w:szCs w:val="32"/>
          <w:lang w:val="en-US" w:eastAsia="zh-CN"/>
        </w:rPr>
        <w:t>附件6</w:t>
      </w:r>
    </w:p>
    <w:p>
      <w:pPr>
        <w:spacing w:line="360" w:lineRule="auto"/>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b/>
          <w:bCs/>
          <w:sz w:val="72"/>
          <w:szCs w:val="72"/>
          <w:lang w:val="en-US" w:eastAsia="zh-CN"/>
        </w:rPr>
        <w:t>靖锰公司锰厂食堂房屋维修项目</w:t>
      </w:r>
    </w:p>
    <w:p>
      <w:pPr>
        <w:numPr>
          <w:ilvl w:val="0"/>
          <w:numId w:val="0"/>
        </w:numPr>
        <w:rPr>
          <w:rFonts w:hint="eastAsia"/>
          <w:b/>
          <w:bCs/>
          <w:sz w:val="32"/>
          <w:szCs w:val="40"/>
          <w:lang w:val="en-US" w:eastAsia="zh-CN"/>
        </w:rPr>
      </w:pPr>
    </w:p>
    <w:p>
      <w:pPr>
        <w:numPr>
          <w:ilvl w:val="0"/>
          <w:numId w:val="0"/>
        </w:numPr>
        <w:jc w:val="center"/>
        <w:rPr>
          <w:rFonts w:hint="eastAsia"/>
          <w:b/>
          <w:bCs/>
          <w:sz w:val="72"/>
          <w:szCs w:val="72"/>
          <w:lang w:val="en-US" w:eastAsia="zh-CN"/>
        </w:rPr>
      </w:pPr>
      <w:r>
        <w:rPr>
          <w:rFonts w:hint="eastAsia"/>
          <w:b/>
          <w:bCs/>
          <w:sz w:val="72"/>
          <w:szCs w:val="72"/>
          <w:lang w:val="en-US" w:eastAsia="zh-CN"/>
        </w:rPr>
        <w:t>技</w:t>
      </w:r>
    </w:p>
    <w:p>
      <w:pPr>
        <w:numPr>
          <w:ilvl w:val="0"/>
          <w:numId w:val="0"/>
        </w:numPr>
        <w:jc w:val="center"/>
        <w:rPr>
          <w:rFonts w:hint="eastAsia"/>
          <w:b/>
          <w:bCs/>
          <w:sz w:val="72"/>
          <w:szCs w:val="72"/>
          <w:lang w:val="en-US" w:eastAsia="zh-CN"/>
        </w:rPr>
      </w:pPr>
      <w:r>
        <w:rPr>
          <w:rFonts w:hint="eastAsia"/>
          <w:b/>
          <w:bCs/>
          <w:sz w:val="72"/>
          <w:szCs w:val="72"/>
          <w:lang w:val="en-US" w:eastAsia="zh-CN"/>
        </w:rPr>
        <w:t>术</w:t>
      </w:r>
    </w:p>
    <w:p>
      <w:pPr>
        <w:numPr>
          <w:ilvl w:val="0"/>
          <w:numId w:val="0"/>
        </w:numPr>
        <w:jc w:val="center"/>
        <w:rPr>
          <w:rFonts w:hint="eastAsia"/>
          <w:b/>
          <w:bCs/>
          <w:sz w:val="72"/>
          <w:szCs w:val="72"/>
          <w:lang w:val="en-US" w:eastAsia="zh-CN"/>
        </w:rPr>
      </w:pPr>
      <w:r>
        <w:rPr>
          <w:rFonts w:hint="eastAsia"/>
          <w:b/>
          <w:bCs/>
          <w:sz w:val="72"/>
          <w:szCs w:val="72"/>
          <w:lang w:val="en-US" w:eastAsia="zh-CN"/>
        </w:rPr>
        <w:t>协</w:t>
      </w:r>
    </w:p>
    <w:p>
      <w:pPr>
        <w:numPr>
          <w:ilvl w:val="0"/>
          <w:numId w:val="0"/>
        </w:numPr>
        <w:jc w:val="center"/>
        <w:rPr>
          <w:rFonts w:hint="default"/>
          <w:b/>
          <w:bCs/>
          <w:sz w:val="72"/>
          <w:szCs w:val="72"/>
          <w:lang w:val="en-US" w:eastAsia="zh-CN"/>
        </w:rPr>
      </w:pPr>
      <w:r>
        <w:rPr>
          <w:rFonts w:hint="eastAsia"/>
          <w:b/>
          <w:bCs/>
          <w:sz w:val="72"/>
          <w:szCs w:val="72"/>
          <w:lang w:val="en-US" w:eastAsia="zh-CN"/>
        </w:rPr>
        <w:t>议</w:t>
      </w:r>
    </w:p>
    <w:p>
      <w:pPr>
        <w:numPr>
          <w:ilvl w:val="0"/>
          <w:numId w:val="0"/>
        </w:numPr>
        <w:rPr>
          <w:rFonts w:hint="eastAsia"/>
          <w:b/>
          <w:bCs/>
          <w:sz w:val="32"/>
          <w:szCs w:val="40"/>
          <w:lang w:val="en-US" w:eastAsia="zh-CN"/>
        </w:rPr>
      </w:pPr>
    </w:p>
    <w:p>
      <w:pPr>
        <w:pStyle w:val="6"/>
        <w:spacing w:line="800" w:lineRule="exact"/>
        <w:ind w:firstLine="2650" w:firstLineChars="11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审核</w:t>
      </w:r>
      <w:r>
        <w:rPr>
          <w:rFonts w:hint="eastAsia" w:ascii="宋体" w:hAnsi="宋体" w:eastAsia="宋体" w:cs="宋体"/>
          <w:b/>
          <w:bCs/>
          <w:color w:val="auto"/>
          <w:sz w:val="24"/>
          <w:szCs w:val="24"/>
          <w:u w:val="single"/>
        </w:rPr>
        <w:t xml:space="preserve">              </w:t>
      </w:r>
      <w:r>
        <w:rPr>
          <w:rFonts w:hint="eastAsia"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pStyle w:val="6"/>
        <w:spacing w:line="800" w:lineRule="exact"/>
        <w:ind w:firstLine="2537" w:firstLineChars="1053"/>
        <w:jc w:val="both"/>
        <w:rPr>
          <w:rFonts w:hint="eastAsia" w:ascii="宋体" w:hAnsi="宋体" w:eastAsia="宋体" w:cs="宋体"/>
          <w:b/>
          <w:bCs/>
          <w:color w:val="auto"/>
          <w:sz w:val="24"/>
          <w:szCs w:val="24"/>
          <w:u w:val="single"/>
        </w:rPr>
      </w:pPr>
    </w:p>
    <w:p>
      <w:pPr>
        <w:pStyle w:val="6"/>
        <w:spacing w:line="800" w:lineRule="exact"/>
        <w:ind w:firstLine="2776" w:firstLineChars="1152"/>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批准</w:t>
      </w:r>
      <w:r>
        <w:rPr>
          <w:rFonts w:hint="eastAsia" w:ascii="宋体" w:hAnsi="宋体" w:eastAsia="宋体" w:cs="宋体"/>
          <w:b/>
          <w:bCs/>
          <w:color w:val="auto"/>
          <w:sz w:val="24"/>
          <w:szCs w:val="24"/>
          <w:u w:val="single"/>
        </w:rPr>
        <w:t xml:space="preserve">                   </w:t>
      </w: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bidi="ar"/>
              </w:rPr>
              <w:t>招标方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投标方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p>
        </w:tc>
      </w:tr>
    </w:tbl>
    <w:p>
      <w:pPr>
        <w:ind w:firstLine="480" w:firstLineChars="200"/>
        <w:jc w:val="center"/>
        <w:rPr>
          <w:rFonts w:hint="eastAsia" w:ascii="宋体" w:hAnsi="宋体" w:eastAsia="宋体" w:cs="宋体"/>
          <w:color w:val="auto"/>
          <w:sz w:val="24"/>
          <w:szCs w:val="24"/>
          <w:lang w:bidi="ar"/>
        </w:rPr>
      </w:pPr>
    </w:p>
    <w:p>
      <w:pPr>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年  月  日</w:t>
      </w:r>
    </w:p>
    <w:p>
      <w:pPr>
        <w:pStyle w:val="2"/>
        <w:rPr>
          <w:rFonts w:hint="eastAsia" w:ascii="宋体" w:hAnsi="宋体" w:eastAsia="宋体" w:cs="宋体"/>
          <w:color w:val="auto"/>
          <w:sz w:val="24"/>
          <w:szCs w:val="24"/>
          <w:lang w:bidi="ar"/>
        </w:rPr>
      </w:pPr>
    </w:p>
    <w:p>
      <w:pPr>
        <w:rPr>
          <w:rFonts w:hint="eastAsia"/>
        </w:rPr>
      </w:pPr>
    </w:p>
    <w:p>
      <w:pPr>
        <w:numPr>
          <w:ilvl w:val="0"/>
          <w:numId w:val="0"/>
        </w:numPr>
        <w:rPr>
          <w:rFonts w:hint="eastAsia"/>
          <w:b/>
          <w:bCs/>
          <w:sz w:val="32"/>
          <w:szCs w:val="40"/>
          <w:lang w:val="en-US" w:eastAsia="zh-CN"/>
        </w:rPr>
      </w:pPr>
    </w:p>
    <w:p>
      <w:pPr>
        <w:numPr>
          <w:ilvl w:val="0"/>
          <w:numId w:val="0"/>
        </w:numPr>
        <w:rPr>
          <w:rFonts w:hint="eastAsia"/>
          <w:b/>
          <w:bCs/>
          <w:sz w:val="32"/>
          <w:szCs w:val="40"/>
          <w:lang w:val="en-US" w:eastAsia="zh-CN"/>
        </w:rPr>
      </w:pPr>
      <w:r>
        <w:rPr>
          <w:rFonts w:hint="eastAsia"/>
          <w:b/>
          <w:bCs/>
          <w:sz w:val="32"/>
          <w:szCs w:val="40"/>
          <w:lang w:val="en-US" w:eastAsia="zh-CN"/>
        </w:rPr>
        <w:t>第一章 工程概况</w:t>
      </w:r>
    </w:p>
    <w:p>
      <w:pPr>
        <w:numPr>
          <w:ilvl w:val="0"/>
          <w:numId w:val="1"/>
        </w:numPr>
        <w:ind w:firstLine="562" w:firstLineChars="200"/>
        <w:rPr>
          <w:rFonts w:hint="eastAsia"/>
          <w:b/>
          <w:bCs/>
          <w:sz w:val="28"/>
          <w:szCs w:val="36"/>
          <w:lang w:val="en-US" w:eastAsia="zh-CN"/>
        </w:rPr>
      </w:pPr>
      <w:r>
        <w:rPr>
          <w:rFonts w:hint="eastAsia"/>
          <w:b/>
          <w:bCs/>
          <w:sz w:val="28"/>
          <w:szCs w:val="36"/>
          <w:lang w:val="en-US" w:eastAsia="zh-CN"/>
        </w:rPr>
        <w:t>工程简介</w:t>
      </w:r>
    </w:p>
    <w:p>
      <w:pPr>
        <w:numPr>
          <w:ilvl w:val="0"/>
          <w:numId w:val="0"/>
        </w:numPr>
        <w:ind w:firstLine="560" w:firstLineChars="200"/>
        <w:rPr>
          <w:rFonts w:hint="eastAsia"/>
          <w:sz w:val="28"/>
          <w:szCs w:val="36"/>
          <w:lang w:val="en-US" w:eastAsia="zh-CN"/>
        </w:rPr>
      </w:pPr>
      <w:r>
        <w:rPr>
          <w:rFonts w:hint="eastAsia"/>
          <w:sz w:val="28"/>
          <w:szCs w:val="36"/>
          <w:lang w:val="en-US" w:eastAsia="zh-CN"/>
        </w:rPr>
        <w:t>工程名称：靖锰公司锰厂食堂房屋维修项目</w:t>
      </w:r>
    </w:p>
    <w:p>
      <w:pPr>
        <w:numPr>
          <w:ilvl w:val="0"/>
          <w:numId w:val="0"/>
        </w:numPr>
        <w:ind w:firstLine="560" w:firstLineChars="200"/>
        <w:rPr>
          <w:rFonts w:hint="eastAsia"/>
          <w:sz w:val="28"/>
          <w:szCs w:val="36"/>
          <w:lang w:val="en-US" w:eastAsia="zh-CN"/>
        </w:rPr>
      </w:pPr>
      <w:r>
        <w:rPr>
          <w:rFonts w:hint="eastAsia"/>
          <w:sz w:val="28"/>
          <w:szCs w:val="36"/>
          <w:lang w:val="en-US" w:eastAsia="zh-CN"/>
        </w:rPr>
        <w:t>建设单位：靖西市锰矿有限责任公司</w:t>
      </w:r>
    </w:p>
    <w:p>
      <w:pPr>
        <w:numPr>
          <w:ilvl w:val="0"/>
          <w:numId w:val="0"/>
        </w:numPr>
        <w:ind w:firstLine="560" w:firstLineChars="200"/>
        <w:rPr>
          <w:rFonts w:hint="eastAsia"/>
          <w:sz w:val="28"/>
          <w:szCs w:val="36"/>
          <w:u w:val="none"/>
          <w:lang w:val="en-US" w:eastAsia="zh-CN"/>
        </w:rPr>
      </w:pPr>
      <w:r>
        <w:rPr>
          <w:rFonts w:hint="eastAsia"/>
          <w:sz w:val="28"/>
          <w:szCs w:val="36"/>
          <w:lang w:val="en-US" w:eastAsia="zh-CN"/>
        </w:rPr>
        <w:t>施工单位：</w:t>
      </w:r>
    </w:p>
    <w:p>
      <w:pPr>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靖西市锰矿有限责任公司锰厂位于靖西市湖润镇，距离靖西市约61km。靖锰公司新兴锰厂食堂年久失修，墙面腻子和天棚腻子存在不同程度脱落、渗水泛黑，为改善职工的工作、生活环境，决定对食堂房屋进行维修。对外墙瓷砖面自上而下3米及围水墙顶面和内侧面进行防水处理，首先用水泥砂浆修补瓷砖裂缝及脱落处，然后采用透明外墙防水胶对瓷砖面涂刷两遍。对有窗户一侧的内墙面铲除旧腻子后进行防水处理，采用水泥基渗透结晶型防水涂料涂刷厚度2mm,再进行刮腻子刷内墙乳胶漆，均为二遍；其他的内墙腻子面重新刷两遍内墙乳胶漆。对发黑的天棚面铲除旧腻子层后再重新刮2遍腻子再刷2遍内墙乳胶漆，对不发黑的天棚面重新刷2遍内墙乳胶漆。</w:t>
      </w:r>
    </w:p>
    <w:p>
      <w:pPr>
        <w:numPr>
          <w:ilvl w:val="0"/>
          <w:numId w:val="1"/>
        </w:numPr>
        <w:ind w:left="0" w:leftChars="0"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工程范围</w:t>
      </w:r>
    </w:p>
    <w:p>
      <w:pPr>
        <w:numPr>
          <w:ilvl w:val="0"/>
          <w:numId w:val="0"/>
        </w:numPr>
        <w:ind w:left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 道路工程范围但不限于下列内容。</w:t>
      </w:r>
    </w:p>
    <w:p>
      <w:pPr>
        <w:numPr>
          <w:ilvl w:val="0"/>
          <w:numId w:val="1"/>
        </w:numPr>
        <w:ind w:left="0" w:leftChars="0"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工作内容及主要工程量</w:t>
      </w:r>
    </w:p>
    <w:p>
      <w:pPr>
        <w:numPr>
          <w:ilvl w:val="0"/>
          <w:numId w:val="0"/>
        </w:numPr>
        <w:ind w:firstLine="560" w:firstLineChars="200"/>
        <w:jc w:val="left"/>
        <w:rPr>
          <w:rFonts w:hint="default" w:ascii="宋体" w:hAnsi="宋体" w:eastAsia="宋体" w:cs="宋体"/>
          <w:sz w:val="28"/>
          <w:szCs w:val="36"/>
          <w:lang w:val="en-US" w:eastAsia="zh-CN"/>
        </w:rPr>
      </w:pPr>
      <w:r>
        <w:rPr>
          <w:rFonts w:hint="default" w:ascii="宋体" w:hAnsi="宋体" w:eastAsia="宋体" w:cs="宋体"/>
          <w:sz w:val="28"/>
          <w:szCs w:val="36"/>
          <w:lang w:val="en-US" w:eastAsia="zh-CN"/>
        </w:rPr>
        <w:t>负责</w:t>
      </w:r>
      <w:r>
        <w:rPr>
          <w:rFonts w:hint="eastAsia"/>
          <w:sz w:val="28"/>
          <w:szCs w:val="36"/>
          <w:lang w:val="en-US" w:eastAsia="zh-CN"/>
        </w:rPr>
        <w:t>靖锰公司锰厂食堂房屋维修项目</w:t>
      </w:r>
      <w:r>
        <w:rPr>
          <w:rFonts w:hint="default" w:ascii="宋体" w:hAnsi="宋体" w:eastAsia="宋体" w:cs="宋体"/>
          <w:sz w:val="28"/>
          <w:szCs w:val="36"/>
          <w:lang w:val="en-US" w:eastAsia="zh-CN"/>
        </w:rPr>
        <w:t>全面管理工作</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劳动力的提供</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消耗材料提供</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工程设备提供</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施工机具提供</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工</w:t>
      </w:r>
      <w:r>
        <w:rPr>
          <w:rFonts w:hint="eastAsia" w:ascii="宋体" w:hAnsi="宋体" w:eastAsia="宋体" w:cs="宋体"/>
          <w:sz w:val="28"/>
          <w:szCs w:val="36"/>
          <w:lang w:val="en-US" w:eastAsia="zh-CN"/>
        </w:rPr>
        <w:t>程</w:t>
      </w:r>
      <w:r>
        <w:rPr>
          <w:rFonts w:hint="default" w:ascii="宋体" w:hAnsi="宋体" w:eastAsia="宋体" w:cs="宋体"/>
          <w:sz w:val="28"/>
          <w:szCs w:val="36"/>
          <w:lang w:val="en-US" w:eastAsia="zh-CN"/>
        </w:rPr>
        <w:t>测试仪器提供及其他施工工作。涵盖工程设备进入施工现场以及在施工现场范围内进行的运输、接货、卸货以及搬运工作</w:t>
      </w:r>
      <w:r>
        <w:rPr>
          <w:rFonts w:hint="eastAsia" w:ascii="宋体" w:hAnsi="宋体" w:eastAsia="宋体" w:cs="宋体"/>
          <w:sz w:val="28"/>
          <w:szCs w:val="36"/>
          <w:lang w:val="en-US" w:eastAsia="zh-CN"/>
        </w:rPr>
        <w:t>。</w:t>
      </w:r>
      <w:r>
        <w:rPr>
          <w:rFonts w:hint="default" w:ascii="宋体" w:hAnsi="宋体" w:eastAsia="宋体" w:cs="宋体"/>
          <w:sz w:val="28"/>
          <w:szCs w:val="36"/>
          <w:lang w:val="en-US" w:eastAsia="zh-CN"/>
        </w:rPr>
        <w:t>承包商应按照本</w:t>
      </w:r>
      <w:r>
        <w:rPr>
          <w:rFonts w:hint="eastAsia" w:ascii="宋体" w:hAnsi="宋体" w:eastAsia="宋体" w:cs="宋体"/>
          <w:sz w:val="28"/>
          <w:szCs w:val="36"/>
          <w:lang w:val="en-US" w:eastAsia="zh-CN"/>
        </w:rPr>
        <w:t>技术协议</w:t>
      </w:r>
      <w:r>
        <w:rPr>
          <w:rFonts w:hint="default" w:ascii="宋体" w:hAnsi="宋体" w:eastAsia="宋体" w:cs="宋体"/>
          <w:sz w:val="28"/>
          <w:szCs w:val="36"/>
          <w:lang w:val="en-US" w:eastAsia="zh-CN"/>
        </w:rPr>
        <w:t>约定、相关图纸和或施工规范的要求，开展以下主要工作：</w:t>
      </w:r>
    </w:p>
    <w:p>
      <w:pPr>
        <w:spacing w:line="360" w:lineRule="auto"/>
        <w:ind w:firstLine="560" w:firstLineChars="200"/>
        <w:rPr>
          <w:rFonts w:hint="default" w:ascii="宋体" w:hAnsi="宋体" w:eastAsia="宋体" w:cs="宋体"/>
          <w:color w:val="000000" w:themeColor="text1"/>
          <w:sz w:val="28"/>
          <w:szCs w:val="36"/>
          <w:lang w:val="en-US" w:eastAsia="zh-CN"/>
          <w14:textFill>
            <w14:solidFill>
              <w14:schemeClr w14:val="tx1"/>
            </w14:solidFill>
          </w14:textFill>
        </w:rPr>
      </w:pPr>
      <w:r>
        <w:rPr>
          <w:rFonts w:hint="default" w:ascii="宋体" w:hAnsi="宋体" w:eastAsia="宋体" w:cs="宋体"/>
          <w:color w:val="000000" w:themeColor="text1"/>
          <w:sz w:val="28"/>
          <w:szCs w:val="36"/>
          <w:lang w:val="en-US" w:eastAsia="zh-CN"/>
          <w14:textFill>
            <w14:solidFill>
              <w14:schemeClr w14:val="tx1"/>
            </w14:solidFill>
          </w14:textFill>
        </w:rPr>
        <w:t>根据</w:t>
      </w:r>
      <w:r>
        <w:rPr>
          <w:rFonts w:hint="eastAsia" w:ascii="宋体" w:hAnsi="宋体" w:eastAsia="宋体" w:cs="宋体"/>
          <w:color w:val="000000" w:themeColor="text1"/>
          <w:sz w:val="28"/>
          <w:szCs w:val="36"/>
          <w:lang w:val="en-US" w:eastAsia="zh-CN"/>
          <w14:textFill>
            <w14:solidFill>
              <w14:schemeClr w14:val="tx1"/>
            </w14:solidFill>
          </w14:textFill>
        </w:rPr>
        <w:t>施工</w:t>
      </w:r>
      <w:r>
        <w:rPr>
          <w:rFonts w:hint="default" w:ascii="宋体" w:hAnsi="宋体" w:eastAsia="宋体" w:cs="宋体"/>
          <w:color w:val="000000" w:themeColor="text1"/>
          <w:sz w:val="28"/>
          <w:szCs w:val="36"/>
          <w:lang w:val="en-US" w:eastAsia="zh-CN"/>
          <w14:textFill>
            <w14:solidFill>
              <w14:schemeClr w14:val="tx1"/>
            </w14:solidFill>
          </w14:textFill>
        </w:rPr>
        <w:t>图纸，完成所有</w:t>
      </w:r>
      <w:r>
        <w:rPr>
          <w:rFonts w:hint="eastAsia" w:ascii="宋体" w:hAnsi="宋体" w:eastAsia="宋体" w:cs="宋体"/>
          <w:color w:val="000000" w:themeColor="text1"/>
          <w:sz w:val="28"/>
          <w:szCs w:val="36"/>
          <w:lang w:val="en-US" w:eastAsia="zh-CN"/>
          <w14:textFill>
            <w14:solidFill>
              <w14:schemeClr w14:val="tx1"/>
            </w14:solidFill>
          </w14:textFill>
        </w:rPr>
        <w:t>食堂装饰</w:t>
      </w:r>
      <w:r>
        <w:rPr>
          <w:rFonts w:hint="default" w:ascii="宋体" w:hAnsi="宋体" w:eastAsia="宋体" w:cs="宋体"/>
          <w:color w:val="000000" w:themeColor="text1"/>
          <w:sz w:val="28"/>
          <w:szCs w:val="36"/>
          <w:lang w:val="en-US" w:eastAsia="zh-CN"/>
          <w14:textFill>
            <w14:solidFill>
              <w14:schemeClr w14:val="tx1"/>
            </w14:solidFill>
          </w14:textFill>
        </w:rPr>
        <w:t>施工工作，主要包含</w:t>
      </w:r>
      <w:r>
        <w:rPr>
          <w:rFonts w:hint="eastAsia" w:ascii="宋体" w:hAnsi="宋体" w:eastAsia="宋体" w:cs="宋体"/>
          <w:color w:val="000000" w:themeColor="text1"/>
          <w:sz w:val="28"/>
          <w:szCs w:val="36"/>
          <w:lang w:val="en-US" w:eastAsia="zh-CN"/>
          <w14:textFill>
            <w14:solidFill>
              <w14:schemeClr w14:val="tx1"/>
            </w14:solidFill>
          </w14:textFill>
        </w:rPr>
        <w:t>原</w:t>
      </w:r>
      <w:r>
        <w:rPr>
          <w:rFonts w:hint="eastAsia" w:asciiTheme="minorEastAsia" w:hAnsiTheme="minorEastAsia" w:eastAsiaTheme="minorEastAsia" w:cstheme="minorEastAsia"/>
          <w:sz w:val="28"/>
          <w:szCs w:val="36"/>
          <w:lang w:val="en-US" w:eastAsia="zh-CN"/>
        </w:rPr>
        <w:t>对外墙瓷砖面自上而下3米及围水墙顶面和内侧面进行防水处理，首先用水泥砂浆修补瓷砖裂缝及脱落处，然后采用透明外墙防水胶对瓷砖面涂刷两遍。对有窗户一侧的内墙面铲除旧腻子后进行防水处理，采用水泥基渗透结晶型防水涂料涂刷厚度2mm,再进行刮腻子刷内墙乳胶漆，均为二遍；其他的内墙腻子面重新刷两遍内墙乳胶漆。对发黑的天棚面铲除旧腻子层后再重新刮2遍腻子再刷2遍内墙乳胶漆，对不发黑的天棚面重新刷2遍内墙乳胶漆</w:t>
      </w:r>
      <w:r>
        <w:rPr>
          <w:rFonts w:hint="eastAsia" w:ascii="宋体" w:hAnsi="宋体" w:eastAsia="宋体" w:cs="宋体"/>
          <w:color w:val="000000" w:themeColor="text1"/>
          <w:sz w:val="28"/>
          <w:szCs w:val="36"/>
          <w:lang w:val="en-US" w:eastAsia="zh-CN"/>
          <w14:textFill>
            <w14:solidFill>
              <w14:schemeClr w14:val="tx1"/>
            </w14:solidFill>
          </w14:textFill>
        </w:rPr>
        <w:t>等。</w:t>
      </w:r>
      <w:r>
        <w:rPr>
          <w:rFonts w:hint="default" w:ascii="宋体" w:hAnsi="宋体" w:eastAsia="宋体" w:cs="宋体"/>
          <w:color w:val="000000" w:themeColor="text1"/>
          <w:sz w:val="28"/>
          <w:szCs w:val="36"/>
          <w:lang w:val="en-US" w:eastAsia="zh-CN"/>
          <w14:textFill>
            <w14:solidFill>
              <w14:schemeClr w14:val="tx1"/>
            </w14:solidFill>
          </w14:textFill>
        </w:rPr>
        <w:t>完成图纸中其它装饰装修施工内容及工程量</w:t>
      </w:r>
      <w:r>
        <w:rPr>
          <w:rFonts w:hint="eastAsia" w:ascii="宋体" w:hAnsi="宋体" w:eastAsia="宋体" w:cs="宋体"/>
          <w:color w:val="000000" w:themeColor="text1"/>
          <w:sz w:val="28"/>
          <w:szCs w:val="36"/>
          <w:lang w:val="en-US" w:eastAsia="zh-CN"/>
          <w14:textFill>
            <w14:solidFill>
              <w14:schemeClr w14:val="tx1"/>
            </w14:solidFill>
          </w14:textFill>
        </w:rPr>
        <w:t>。</w:t>
      </w:r>
    </w:p>
    <w:p>
      <w:pPr>
        <w:numPr>
          <w:ilvl w:val="0"/>
          <w:numId w:val="1"/>
        </w:numPr>
        <w:ind w:left="0" w:leftChars="0" w:firstLine="562" w:firstLineChars="200"/>
        <w:jc w:val="left"/>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工程特点</w:t>
      </w:r>
    </w:p>
    <w:p>
      <w:pPr>
        <w:numPr>
          <w:ilvl w:val="0"/>
          <w:numId w:val="0"/>
        </w:numPr>
        <w:ind w:firstLine="560" w:firstLineChars="200"/>
        <w:rPr>
          <w:rFonts w:hint="eastAsia"/>
          <w:sz w:val="28"/>
          <w:szCs w:val="36"/>
          <w:lang w:val="en-US" w:eastAsia="zh-CN"/>
        </w:rPr>
      </w:pPr>
      <w:r>
        <w:rPr>
          <w:rFonts w:hint="eastAsia"/>
          <w:sz w:val="28"/>
          <w:szCs w:val="36"/>
          <w:lang w:val="en-US" w:eastAsia="zh-CN"/>
        </w:rPr>
        <w:t>靖锰公司锰厂食堂房屋维修项目施工区域较为复杂。应注意施工进度、施工质量和施工安全。</w:t>
      </w:r>
    </w:p>
    <w:p>
      <w:pPr>
        <w:numPr>
          <w:ilvl w:val="0"/>
          <w:numId w:val="1"/>
        </w:numPr>
        <w:ind w:left="0" w:leftChars="0" w:firstLine="562" w:firstLineChars="200"/>
        <w:jc w:val="both"/>
        <w:rPr>
          <w:rFonts w:hint="default"/>
          <w:b/>
          <w:bCs/>
          <w:sz w:val="28"/>
          <w:szCs w:val="36"/>
          <w:lang w:val="en-US" w:eastAsia="zh-CN"/>
        </w:rPr>
      </w:pPr>
      <w:r>
        <w:rPr>
          <w:rFonts w:hint="eastAsia"/>
          <w:b/>
          <w:bCs/>
          <w:sz w:val="28"/>
          <w:szCs w:val="36"/>
          <w:lang w:val="en-US" w:eastAsia="zh-CN"/>
        </w:rPr>
        <w:t>编制依据</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靖锰公司锰厂食堂房屋维修项目施工图纸、工程量清单及招标文件。</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1.本工程施工组织设计。</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2.有关现行标准及规范；</w:t>
      </w:r>
      <w:bookmarkStart w:id="0" w:name="_GoBack"/>
      <w:bookmarkEnd w:id="0"/>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3.《建筑装饰装修工程施工质量验收规范》（GB50210-2013)</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4.《建筑地面工程施工质量验收规范》(GB50209-2010)</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5.《建筑工程施工质量验收统一标准》(GB50300-2013)</w:t>
      </w:r>
    </w:p>
    <w:p>
      <w:pPr>
        <w:numPr>
          <w:ilvl w:val="0"/>
          <w:numId w:val="0"/>
        </w:numPr>
        <w:rPr>
          <w:rFonts w:hint="eastAsia"/>
          <w:b/>
          <w:bCs/>
          <w:sz w:val="32"/>
          <w:szCs w:val="40"/>
          <w:lang w:val="en-US" w:eastAsia="zh-CN"/>
        </w:rPr>
      </w:pPr>
      <w:r>
        <w:rPr>
          <w:rFonts w:hint="eastAsia"/>
          <w:b/>
          <w:bCs/>
          <w:sz w:val="32"/>
          <w:szCs w:val="40"/>
          <w:lang w:val="en-US" w:eastAsia="zh-CN"/>
        </w:rPr>
        <w:t>第二章 各专项施工方案</w:t>
      </w:r>
    </w:p>
    <w:p>
      <w:pPr>
        <w:numPr>
          <w:ilvl w:val="0"/>
          <w:numId w:val="0"/>
        </w:numPr>
        <w:ind w:firstLine="562" w:firstLineChars="200"/>
        <w:rPr>
          <w:rFonts w:hint="eastAsia"/>
          <w:b/>
          <w:bCs/>
          <w:sz w:val="32"/>
          <w:szCs w:val="40"/>
          <w:lang w:val="en-US" w:eastAsia="zh-CN"/>
        </w:rPr>
      </w:pPr>
      <w:r>
        <w:rPr>
          <w:rFonts w:hint="eastAsia"/>
          <w:b/>
          <w:bCs/>
          <w:sz w:val="28"/>
          <w:szCs w:val="36"/>
          <w:lang w:val="en-US" w:eastAsia="zh-CN"/>
        </w:rPr>
        <w:t>第一节 室内顶棚、内墙装饰修补</w:t>
      </w:r>
    </w:p>
    <w:p>
      <w:pPr>
        <w:numPr>
          <w:ilvl w:val="0"/>
          <w:numId w:val="0"/>
        </w:numPr>
        <w:ind w:firstLine="560" w:firstLineChars="200"/>
        <w:rPr>
          <w:rFonts w:hint="eastAsia"/>
          <w:sz w:val="28"/>
          <w:szCs w:val="36"/>
          <w:lang w:val="en-US" w:eastAsia="zh-CN"/>
        </w:rPr>
      </w:pPr>
      <w:r>
        <w:rPr>
          <w:rFonts w:hint="eastAsia"/>
          <w:sz w:val="28"/>
          <w:szCs w:val="36"/>
          <w:lang w:val="en-US" w:eastAsia="zh-CN"/>
        </w:rPr>
        <w:t>施工工序流程：铲除需要修补部位内墙、顶棚腻子→清扫基层→配浆找补腻子→腻子打磨→第一道乳胶漆→第二道乳胶漆。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1.铲除原墙面腐蚀腻子涂料。</w:t>
      </w:r>
    </w:p>
    <w:p>
      <w:pPr>
        <w:numPr>
          <w:ilvl w:val="0"/>
          <w:numId w:val="0"/>
        </w:numPr>
        <w:ind w:left="559" w:leftChars="266" w:firstLine="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将墙面进行清扫后，将浮尘扫净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基层含水率应≤10%</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3.</w:t>
      </w:r>
      <w:r>
        <w:rPr>
          <w:rFonts w:hint="eastAsia" w:ascii="宋体" w:hAnsi="宋体" w:eastAsia="宋体" w:cs="宋体"/>
          <w:sz w:val="28"/>
          <w:szCs w:val="28"/>
        </w:rPr>
        <w:t>洼、孔眼处</w:t>
      </w:r>
      <w:r>
        <w:rPr>
          <w:rFonts w:hint="eastAsia" w:ascii="宋体" w:hAnsi="宋体" w:eastAsia="宋体" w:cs="宋体"/>
          <w:sz w:val="28"/>
          <w:szCs w:val="28"/>
          <w:lang w:val="en-US" w:eastAsia="zh-CN"/>
        </w:rPr>
        <w:t>腻子</w:t>
      </w:r>
      <w:r>
        <w:rPr>
          <w:rFonts w:hint="eastAsia" w:ascii="宋体" w:hAnsi="宋体" w:eastAsia="宋体" w:cs="宋体"/>
          <w:sz w:val="28"/>
          <w:szCs w:val="28"/>
        </w:rPr>
        <w:t>找平、填补</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干燥后用砂纸磨平</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刷乳胶漆：刷乳胶漆为</w:t>
      </w:r>
      <w:r>
        <w:rPr>
          <w:rFonts w:hint="eastAsia" w:ascii="宋体" w:hAnsi="宋体" w:eastAsia="宋体" w:cs="宋体"/>
          <w:sz w:val="28"/>
          <w:szCs w:val="28"/>
          <w:lang w:val="en-US" w:eastAsia="zh-CN"/>
        </w:rPr>
        <w:t>二</w:t>
      </w:r>
      <w:r>
        <w:rPr>
          <w:rFonts w:hint="eastAsia" w:ascii="宋体" w:hAnsi="宋体" w:eastAsia="宋体" w:cs="宋体"/>
          <w:sz w:val="28"/>
          <w:szCs w:val="28"/>
        </w:rPr>
        <w:t>遍。第一遍：先将墙面清扫干净，即用干布将墙面粉尘擦净，沿墙面先上后下顺序涂刷。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刷乳胶漆：刷乳胶漆为</w:t>
      </w:r>
      <w:r>
        <w:rPr>
          <w:rFonts w:hint="eastAsia" w:ascii="宋体" w:hAnsi="宋体" w:eastAsia="宋体" w:cs="宋体"/>
          <w:sz w:val="28"/>
          <w:szCs w:val="28"/>
          <w:lang w:val="en-US" w:eastAsia="zh-CN"/>
        </w:rPr>
        <w:t>二</w:t>
      </w:r>
      <w:r>
        <w:rPr>
          <w:rFonts w:hint="eastAsia" w:ascii="宋体" w:hAnsi="宋体" w:eastAsia="宋体" w:cs="宋体"/>
          <w:sz w:val="28"/>
          <w:szCs w:val="28"/>
        </w:rPr>
        <w:t>遍。第二遍涂刷：操作方法同第一遍，干燥后，用细砂纸打磨，并清擦干净。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7.</w:t>
      </w:r>
      <w:r>
        <w:rPr>
          <w:rFonts w:hint="eastAsia" w:ascii="宋体" w:hAnsi="宋体" w:eastAsia="宋体" w:cs="宋体"/>
          <w:sz w:val="28"/>
          <w:szCs w:val="28"/>
        </w:rPr>
        <w:t>刷孔胶漆时，室内不得有其他工种作业，防止粉尘污染墙面，并派专人开关门窗注意通风。</w:t>
      </w:r>
    </w:p>
    <w:p>
      <w:pPr>
        <w:numPr>
          <w:ilvl w:val="0"/>
          <w:numId w:val="0"/>
        </w:numPr>
        <w:rPr>
          <w:rFonts w:hint="default"/>
          <w:sz w:val="28"/>
          <w:szCs w:val="36"/>
          <w:lang w:val="en-US" w:eastAsia="zh-CN"/>
        </w:rPr>
      </w:pPr>
      <w:r>
        <w:rPr>
          <w:rFonts w:hint="eastAsia" w:ascii="宋体" w:hAnsi="宋体" w:eastAsia="宋体" w:cs="宋体"/>
          <w:sz w:val="28"/>
          <w:szCs w:val="28"/>
          <w:lang w:val="en-US" w:eastAsia="zh-CN"/>
        </w:rPr>
        <w:t xml:space="preserve">    8.应注意</w:t>
      </w:r>
      <w:r>
        <w:rPr>
          <w:rFonts w:hint="eastAsia"/>
          <w:sz w:val="28"/>
          <w:szCs w:val="36"/>
          <w:lang w:val="en-US" w:eastAsia="zh-CN"/>
        </w:rPr>
        <w:t>事项：</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8.1基层含水率不得大于10%。</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8.2工程使用的腻子，应坚实牢固，不得粉化、起皮和裂纹。</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8.3透底：产生的主要原因是漆膜薄，因此刷涂料时除应注意不漏刷外，还应保持涂料的稠度，不可加水过多。</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8.4接搓明显：涂刷时要上下顺刷，后一滚紧接前一滚，若间隔时间稍长，就容易看出接头，因此大面积施涂时，应配足人员，互相衔接好。</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8.5刷纹明显：面漆的稠度要适中，滚子蘸涂料量要适当，涂刷时要多理多顺防止刷纹过大。</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8.6面漆涂饰质量和检验方法应符合下表规定：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629"/>
        <w:gridCol w:w="23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项次</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项目</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质量要求</w:t>
            </w:r>
          </w:p>
        </w:tc>
        <w:tc>
          <w:tcPr>
            <w:tcW w:w="2131"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1</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颜色</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均匀一致</w:t>
            </w:r>
          </w:p>
        </w:tc>
        <w:tc>
          <w:tcPr>
            <w:tcW w:w="2131" w:type="dxa"/>
            <w:vMerge w:val="restart"/>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2</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泛碱、咬色</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不允许</w:t>
            </w:r>
          </w:p>
        </w:tc>
        <w:tc>
          <w:tcPr>
            <w:tcW w:w="2131" w:type="dxa"/>
            <w:vMerge w:val="continue"/>
            <w:vAlign w:val="center"/>
          </w:tcPr>
          <w:p>
            <w:pPr>
              <w:numPr>
                <w:ilvl w:val="0"/>
                <w:numId w:val="0"/>
              </w:numPr>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3</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留坠、疙瘩</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不允许</w:t>
            </w:r>
          </w:p>
        </w:tc>
        <w:tc>
          <w:tcPr>
            <w:tcW w:w="2131" w:type="dxa"/>
            <w:vMerge w:val="continue"/>
            <w:vAlign w:val="center"/>
          </w:tcPr>
          <w:p>
            <w:pPr>
              <w:numPr>
                <w:ilvl w:val="0"/>
                <w:numId w:val="0"/>
              </w:numPr>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4</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砂眼、刷纹</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无刷眼、无刷痕</w:t>
            </w:r>
          </w:p>
        </w:tc>
        <w:tc>
          <w:tcPr>
            <w:tcW w:w="2131" w:type="dxa"/>
            <w:vMerge w:val="continue"/>
            <w:vAlign w:val="center"/>
          </w:tcPr>
          <w:p>
            <w:pPr>
              <w:numPr>
                <w:ilvl w:val="0"/>
                <w:numId w:val="0"/>
              </w:numPr>
              <w:jc w:val="center"/>
              <w:rPr>
                <w:rFonts w:hint="default"/>
                <w:sz w:val="28"/>
                <w:szCs w:val="36"/>
                <w:vertAlign w:val="baseline"/>
                <w:lang w:val="en-US" w:eastAsia="zh-CN"/>
              </w:rPr>
            </w:pPr>
          </w:p>
        </w:tc>
      </w:tr>
    </w:tbl>
    <w:p>
      <w:pPr>
        <w:numPr>
          <w:ilvl w:val="0"/>
          <w:numId w:val="0"/>
        </w:numPr>
        <w:ind w:firstLine="562" w:firstLineChars="200"/>
        <w:rPr>
          <w:rFonts w:hint="eastAsia"/>
          <w:b/>
          <w:bCs/>
          <w:sz w:val="28"/>
          <w:szCs w:val="36"/>
          <w:lang w:val="en-US" w:eastAsia="zh-CN"/>
        </w:rPr>
      </w:pPr>
    </w:p>
    <w:p>
      <w:pPr>
        <w:numPr>
          <w:ilvl w:val="0"/>
          <w:numId w:val="0"/>
        </w:numPr>
        <w:ind w:firstLine="562" w:firstLineChars="200"/>
        <w:rPr>
          <w:rFonts w:hint="eastAsia"/>
          <w:b/>
          <w:bCs/>
          <w:sz w:val="32"/>
          <w:szCs w:val="40"/>
          <w:lang w:val="en-US" w:eastAsia="zh-CN"/>
        </w:rPr>
      </w:pPr>
      <w:r>
        <w:rPr>
          <w:rFonts w:hint="eastAsia"/>
          <w:b/>
          <w:bCs/>
          <w:sz w:val="28"/>
          <w:szCs w:val="36"/>
          <w:lang w:val="en-US" w:eastAsia="zh-CN"/>
        </w:rPr>
        <w:t>第二节 外墙面涂膜防水</w:t>
      </w:r>
    </w:p>
    <w:p>
      <w:pPr>
        <w:numPr>
          <w:ilvl w:val="0"/>
          <w:numId w:val="0"/>
        </w:numPr>
        <w:ind w:firstLine="560" w:firstLineChars="200"/>
        <w:rPr>
          <w:rFonts w:hint="eastAsia"/>
          <w:b/>
          <w:bCs/>
          <w:sz w:val="32"/>
          <w:szCs w:val="40"/>
          <w:lang w:val="en-US" w:eastAsia="zh-CN"/>
        </w:rPr>
      </w:pPr>
      <w:r>
        <w:rPr>
          <w:rFonts w:hint="eastAsia"/>
          <w:sz w:val="28"/>
          <w:szCs w:val="36"/>
          <w:lang w:val="en-US" w:eastAsia="zh-CN"/>
        </w:rPr>
        <w:t>施工工序流程：砂浆修补→清扫基层→涂膜防水。</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1.外墙墙面修补。</w:t>
      </w:r>
    </w:p>
    <w:p>
      <w:pPr>
        <w:numPr>
          <w:ilvl w:val="0"/>
          <w:numId w:val="0"/>
        </w:numPr>
        <w:ind w:left="559" w:leftChars="266" w:firstLine="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将墙面进行清扫后，将浮尘扫净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基层含水率应≤10%</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3.分层涂膜外墙透明防水胶</w:t>
      </w:r>
      <w:r>
        <w:rPr>
          <w:rFonts w:hint="eastAsia" w:ascii="宋体" w:hAnsi="宋体" w:eastAsia="宋体" w:cs="宋体"/>
          <w:sz w:val="28"/>
          <w:szCs w:val="28"/>
          <w:lang w:eastAsia="zh-CN"/>
        </w:rPr>
        <w:t>。</w:t>
      </w:r>
    </w:p>
    <w:p>
      <w:pPr>
        <w:numPr>
          <w:ilvl w:val="0"/>
          <w:numId w:val="0"/>
        </w:numPr>
        <w:ind w:firstLine="562" w:firstLineChars="200"/>
        <w:rPr>
          <w:rFonts w:hint="default"/>
          <w:b/>
          <w:bCs/>
          <w:sz w:val="32"/>
          <w:szCs w:val="40"/>
          <w:lang w:val="en-US" w:eastAsia="zh-CN"/>
        </w:rPr>
      </w:pPr>
      <w:r>
        <w:rPr>
          <w:rFonts w:hint="eastAsia"/>
          <w:b/>
          <w:bCs/>
          <w:sz w:val="28"/>
          <w:szCs w:val="36"/>
          <w:lang w:val="en-US" w:eastAsia="zh-CN"/>
        </w:rPr>
        <w:t>第三节 内墙窗口面防水砂浆施工</w:t>
      </w:r>
    </w:p>
    <w:p>
      <w:pPr>
        <w:numPr>
          <w:ilvl w:val="0"/>
          <w:numId w:val="0"/>
        </w:numPr>
        <w:ind w:firstLine="560" w:firstLineChars="200"/>
        <w:rPr>
          <w:rFonts w:hint="eastAsia"/>
          <w:b/>
          <w:bCs/>
          <w:sz w:val="32"/>
          <w:szCs w:val="40"/>
          <w:lang w:val="en-US" w:eastAsia="zh-CN"/>
        </w:rPr>
      </w:pPr>
      <w:r>
        <w:rPr>
          <w:rFonts w:hint="eastAsia"/>
          <w:sz w:val="28"/>
          <w:szCs w:val="36"/>
          <w:lang w:val="en-US" w:eastAsia="zh-CN"/>
        </w:rPr>
        <w:t>施工工序流程：原装饰拆除→清扫基层→防水砂浆施工→内墙腻子施工→内墙乳胶漆施工。</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1.铲除原墙面腐蚀腻子涂料和抹灰层。</w:t>
      </w:r>
    </w:p>
    <w:p>
      <w:pPr>
        <w:numPr>
          <w:ilvl w:val="0"/>
          <w:numId w:val="0"/>
        </w:numPr>
        <w:ind w:left="559" w:leftChars="266" w:firstLine="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将墙面进行清扫后，将浮尘扫净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基层含水率应≤10%</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3.防水砂浆施工</w:t>
      </w:r>
      <w:r>
        <w:rPr>
          <w:rFonts w:hint="eastAsia" w:ascii="宋体" w:hAnsi="宋体" w:eastAsia="宋体" w:cs="宋体"/>
          <w:sz w:val="28"/>
          <w:szCs w:val="28"/>
          <w:lang w:eastAsia="zh-CN"/>
        </w:rPr>
        <w:t>。</w:t>
      </w:r>
    </w:p>
    <w:p>
      <w:pPr>
        <w:numPr>
          <w:ilvl w:val="0"/>
          <w:numId w:val="0"/>
        </w:numPr>
        <w:ind w:left="559" w:leftChars="266" w:firstLine="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4.内墙腻子施工。</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干燥后用砂纸磨平</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刷乳胶漆：刷乳胶漆为</w:t>
      </w:r>
      <w:r>
        <w:rPr>
          <w:rFonts w:hint="eastAsia" w:ascii="宋体" w:hAnsi="宋体" w:eastAsia="宋体" w:cs="宋体"/>
          <w:sz w:val="28"/>
          <w:szCs w:val="28"/>
          <w:lang w:val="en-US" w:eastAsia="zh-CN"/>
        </w:rPr>
        <w:t>二</w:t>
      </w:r>
      <w:r>
        <w:rPr>
          <w:rFonts w:hint="eastAsia" w:ascii="宋体" w:hAnsi="宋体" w:eastAsia="宋体" w:cs="宋体"/>
          <w:sz w:val="28"/>
          <w:szCs w:val="28"/>
        </w:rPr>
        <w:t>遍。第一遍：先将墙面清扫干净，即用干布将墙面粉尘擦净，沿墙面先上后下顺序涂刷。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7.</w:t>
      </w:r>
      <w:r>
        <w:rPr>
          <w:rFonts w:hint="eastAsia" w:ascii="宋体" w:hAnsi="宋体" w:eastAsia="宋体" w:cs="宋体"/>
          <w:sz w:val="28"/>
          <w:szCs w:val="28"/>
        </w:rPr>
        <w:t>刷乳胶漆：刷乳胶漆为</w:t>
      </w:r>
      <w:r>
        <w:rPr>
          <w:rFonts w:hint="eastAsia" w:ascii="宋体" w:hAnsi="宋体" w:eastAsia="宋体" w:cs="宋体"/>
          <w:sz w:val="28"/>
          <w:szCs w:val="28"/>
          <w:lang w:val="en-US" w:eastAsia="zh-CN"/>
        </w:rPr>
        <w:t>二</w:t>
      </w:r>
      <w:r>
        <w:rPr>
          <w:rFonts w:hint="eastAsia" w:ascii="宋体" w:hAnsi="宋体" w:eastAsia="宋体" w:cs="宋体"/>
          <w:sz w:val="28"/>
          <w:szCs w:val="28"/>
        </w:rPr>
        <w:t>遍。第二遍涂刷：操作方法同第一遍，干燥后，用细砂纸打磨，并清擦干净。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8.</w:t>
      </w:r>
      <w:r>
        <w:rPr>
          <w:rFonts w:hint="eastAsia" w:ascii="宋体" w:hAnsi="宋体" w:eastAsia="宋体" w:cs="宋体"/>
          <w:sz w:val="28"/>
          <w:szCs w:val="28"/>
        </w:rPr>
        <w:t>刷孔胶漆时，室内不得有其他工种作业，防止粉尘污染墙面，并派专人开关门窗注意通风。</w:t>
      </w:r>
    </w:p>
    <w:p>
      <w:pPr>
        <w:numPr>
          <w:ilvl w:val="0"/>
          <w:numId w:val="0"/>
        </w:numPr>
        <w:rPr>
          <w:rFonts w:hint="default"/>
          <w:sz w:val="28"/>
          <w:szCs w:val="36"/>
          <w:lang w:val="en-US" w:eastAsia="zh-CN"/>
        </w:rPr>
      </w:pPr>
      <w:r>
        <w:rPr>
          <w:rFonts w:hint="eastAsia" w:ascii="宋体" w:hAnsi="宋体" w:eastAsia="宋体" w:cs="宋体"/>
          <w:sz w:val="28"/>
          <w:szCs w:val="28"/>
          <w:lang w:val="en-US" w:eastAsia="zh-CN"/>
        </w:rPr>
        <w:t xml:space="preserve">   9.应注意</w:t>
      </w:r>
      <w:r>
        <w:rPr>
          <w:rFonts w:hint="eastAsia"/>
          <w:sz w:val="28"/>
          <w:szCs w:val="36"/>
          <w:lang w:val="en-US" w:eastAsia="zh-CN"/>
        </w:rPr>
        <w:t>事项：</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9.1基层含水率不得大于10%。</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9.2工程使用的腻子，应坚实牢固，不得粉化、起皮和裂纹。</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9.3透底：产生的主要原因是漆膜薄，因此刷涂料时除应注意不漏刷外，还应保持涂料的稠度，不可加水过多。</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9.4接搓明显：涂刷时要上下顺刷，后一滚紧接前一滚，若间隔时间稍长，就容易看出接头，因此大面积施涂时，应配足人员，互相衔接好。</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9.5刷纹明显：面漆的稠度要适中，滚子蘸涂料量要适当，涂刷时要多理多顺防止刷纹过大。</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9.6面漆涂饰质量和检验方法应符合下表规定：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629"/>
        <w:gridCol w:w="23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项次</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项目</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质量要求</w:t>
            </w:r>
          </w:p>
        </w:tc>
        <w:tc>
          <w:tcPr>
            <w:tcW w:w="2131"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1</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颜色</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均匀一致</w:t>
            </w:r>
          </w:p>
        </w:tc>
        <w:tc>
          <w:tcPr>
            <w:tcW w:w="2131" w:type="dxa"/>
            <w:vMerge w:val="restart"/>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2</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泛碱、咬色</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不允许</w:t>
            </w:r>
          </w:p>
        </w:tc>
        <w:tc>
          <w:tcPr>
            <w:tcW w:w="2131" w:type="dxa"/>
            <w:vMerge w:val="continue"/>
            <w:vAlign w:val="center"/>
          </w:tcPr>
          <w:p>
            <w:pPr>
              <w:numPr>
                <w:ilvl w:val="0"/>
                <w:numId w:val="0"/>
              </w:numPr>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3</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留坠、疙瘩</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不允许</w:t>
            </w:r>
          </w:p>
        </w:tc>
        <w:tc>
          <w:tcPr>
            <w:tcW w:w="2131" w:type="dxa"/>
            <w:vMerge w:val="continue"/>
            <w:vAlign w:val="center"/>
          </w:tcPr>
          <w:p>
            <w:pPr>
              <w:numPr>
                <w:ilvl w:val="0"/>
                <w:numId w:val="0"/>
              </w:numPr>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4</w:t>
            </w:r>
          </w:p>
        </w:tc>
        <w:tc>
          <w:tcPr>
            <w:tcW w:w="2629"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砂眼、刷纹</w:t>
            </w:r>
          </w:p>
        </w:tc>
        <w:tc>
          <w:tcPr>
            <w:tcW w:w="2340" w:type="dxa"/>
            <w:vAlign w:val="center"/>
          </w:tcPr>
          <w:p>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无刷眼、无刷痕</w:t>
            </w:r>
          </w:p>
        </w:tc>
        <w:tc>
          <w:tcPr>
            <w:tcW w:w="2131" w:type="dxa"/>
            <w:vMerge w:val="continue"/>
            <w:vAlign w:val="center"/>
          </w:tcPr>
          <w:p>
            <w:pPr>
              <w:numPr>
                <w:ilvl w:val="0"/>
                <w:numId w:val="0"/>
              </w:numPr>
              <w:jc w:val="center"/>
              <w:rPr>
                <w:rFonts w:hint="default"/>
                <w:sz w:val="28"/>
                <w:szCs w:val="36"/>
                <w:vertAlign w:val="baseline"/>
                <w:lang w:val="en-US" w:eastAsia="zh-CN"/>
              </w:rPr>
            </w:pPr>
          </w:p>
        </w:tc>
      </w:tr>
    </w:tbl>
    <w:p>
      <w:pPr>
        <w:autoSpaceDE w:val="0"/>
        <w:autoSpaceDN w:val="0"/>
        <w:adjustRightInd w:val="0"/>
        <w:snapToGrid w:val="0"/>
        <w:spacing w:before="78" w:beforeLines="25" w:after="78" w:afterLines="25" w:line="440" w:lineRule="exact"/>
        <w:ind w:right="-483" w:rightChars="-230"/>
        <w:jc w:val="left"/>
        <w:rPr>
          <w:rFonts w:hint="eastAsia" w:ascii="宋体" w:hAnsi="宋体"/>
          <w:b/>
          <w:bCs/>
          <w:color w:val="auto"/>
          <w:sz w:val="32"/>
          <w:szCs w:val="32"/>
          <w:lang w:val="en-US" w:eastAsia="zh-CN"/>
        </w:rPr>
      </w:pPr>
    </w:p>
    <w:p>
      <w:pPr>
        <w:autoSpaceDE w:val="0"/>
        <w:autoSpaceDN w:val="0"/>
        <w:adjustRightInd w:val="0"/>
        <w:snapToGrid w:val="0"/>
        <w:spacing w:before="78" w:beforeLines="25" w:after="78" w:afterLines="25" w:line="440" w:lineRule="exact"/>
        <w:ind w:right="-483" w:rightChars="-230"/>
        <w:jc w:val="left"/>
        <w:rPr>
          <w:rFonts w:hint="default" w:ascii="宋体" w:hAnsi="宋体"/>
          <w:b/>
          <w:bCs/>
          <w:color w:val="auto"/>
          <w:sz w:val="24"/>
          <w:lang w:val="en-US" w:eastAsia="zh-CN"/>
        </w:rPr>
      </w:pPr>
      <w:r>
        <w:rPr>
          <w:rFonts w:hint="eastAsia" w:ascii="宋体" w:hAnsi="宋体"/>
          <w:b/>
          <w:bCs/>
          <w:color w:val="auto"/>
          <w:sz w:val="32"/>
          <w:szCs w:val="32"/>
          <w:lang w:val="en-US" w:eastAsia="zh-CN"/>
        </w:rPr>
        <w:t>第三章 双方权利与要求</w:t>
      </w:r>
      <w:r>
        <w:rPr>
          <w:rFonts w:hint="eastAsia" w:ascii="宋体" w:hAnsi="宋体"/>
          <w:b/>
          <w:bCs/>
          <w:color w:val="auto"/>
          <w:sz w:val="24"/>
          <w:lang w:val="en-US" w:eastAsia="zh-CN"/>
        </w:rPr>
        <w:t xml:space="preserve"> </w:t>
      </w:r>
    </w:p>
    <w:p>
      <w:pPr>
        <w:autoSpaceDE w:val="0"/>
        <w:autoSpaceDN w:val="0"/>
        <w:adjustRightInd w:val="0"/>
        <w:snapToGrid w:val="0"/>
        <w:spacing w:before="78" w:beforeLines="25" w:after="78" w:afterLines="25" w:line="440" w:lineRule="exact"/>
        <w:ind w:right="-483" w:rightChars="-230" w:firstLine="562" w:firstLineChars="200"/>
        <w:jc w:val="left"/>
        <w:rPr>
          <w:rFonts w:ascii="宋体" w:hAnsi="宋体"/>
          <w:b/>
          <w:bCs/>
          <w:color w:val="auto"/>
          <w:sz w:val="28"/>
          <w:szCs w:val="28"/>
        </w:rPr>
      </w:pPr>
      <w:r>
        <w:rPr>
          <w:rFonts w:hint="eastAsia" w:ascii="宋体" w:hAnsi="宋体"/>
          <w:b/>
          <w:bCs/>
          <w:color w:val="auto"/>
          <w:sz w:val="28"/>
          <w:szCs w:val="28"/>
          <w:lang w:val="en-US" w:eastAsia="zh-CN"/>
        </w:rPr>
        <w:t xml:space="preserve">第一节 </w:t>
      </w:r>
      <w:r>
        <w:rPr>
          <w:rFonts w:hint="eastAsia" w:ascii="宋体" w:hAnsi="宋体"/>
          <w:b/>
          <w:bCs/>
          <w:color w:val="auto"/>
          <w:sz w:val="28"/>
          <w:szCs w:val="28"/>
        </w:rPr>
        <w:t>工程质量</w:t>
      </w:r>
    </w:p>
    <w:p>
      <w:pPr>
        <w:autoSpaceDE w:val="0"/>
        <w:autoSpaceDN w:val="0"/>
        <w:adjustRightInd w:val="0"/>
        <w:snapToGrid w:val="0"/>
        <w:spacing w:before="78" w:beforeLines="25" w:after="78" w:afterLines="25"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4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第二节 </w:t>
      </w:r>
      <w:r>
        <w:rPr>
          <w:rFonts w:hint="eastAsia" w:ascii="宋体" w:hAnsi="宋体"/>
          <w:b/>
          <w:bCs/>
          <w:color w:val="auto"/>
          <w:sz w:val="28"/>
          <w:szCs w:val="28"/>
        </w:rPr>
        <w:t>检查和验收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乙方应认真按照标准、规范和设计图纸要求以及甲方或监理工程师依据合同发出的指令施工，随时接受甲方或监理工程师的检查检验，为检查检验提供便利条件。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工程质量达不到约定标准的部分，甲方或监理工程师一经发现，应要求乙方拆除和重新施工，乙方应按甲方或监理工程师的要求拆除和重新施工，直到符合约定标准。因乙方原因达不到约定标准，由乙方承担拆除和重新施工的费用，工期不予顺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甲方或监理工程师的检查检验不应影响施工正常进行。如影响施工正常进行，检查检验不合格时，影响正常施工的费用由乙方承担。除此之外影响正常施工的追加合同价款由甲方承担，相应顺延工期。</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因甲方或监理工程师指令失误或其他非乙方原因发生的追加合同价款，由甲方承担。</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4.1</w:t>
      </w:r>
      <w:r>
        <w:rPr>
          <w:rFonts w:hint="eastAsia" w:asciiTheme="minorEastAsia" w:hAnsiTheme="minorEastAsia" w:eastAsiaTheme="minorEastAsia" w:cstheme="minorEastAsia"/>
          <w:color w:val="auto"/>
          <w:sz w:val="28"/>
          <w:szCs w:val="28"/>
        </w:rPr>
        <w:t>隐蔽工程和中间验收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4.1.1</w:t>
      </w:r>
      <w:r>
        <w:rPr>
          <w:rFonts w:hint="eastAsia" w:asciiTheme="minorEastAsia" w:hAnsiTheme="minorEastAsia" w:eastAsiaTheme="minorEastAsia" w:cstheme="minorEastAsia"/>
          <w:color w:val="auto"/>
          <w:sz w:val="28"/>
          <w:szCs w:val="28"/>
        </w:rPr>
        <w:t>工程具备隐蔽条件或达到专用条款约定的中间验收部位，乙方进行自检，并在隐蔽或中间验收前48小时以书面形式通知监理工程师验收。通知包括隐蔽和中间验收的内容、验收时间和地点。乙方准备验收记录，验收合格，甲方和监理工程师等相关验收人员在验收记录上签字后，乙方可进行隐蔽和继续施工。验收不合格，乙方在监理工程师限定的时间内修改后重新验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4.1.2</w:t>
      </w:r>
      <w:r>
        <w:rPr>
          <w:rFonts w:hint="eastAsia" w:asciiTheme="minorEastAsia" w:hAnsiTheme="minorEastAsia" w:eastAsiaTheme="minorEastAsia" w:cstheme="minorEastAsia"/>
          <w:color w:val="auto"/>
          <w:sz w:val="28"/>
          <w:szCs w:val="28"/>
        </w:rPr>
        <w:t>经甲方工程师验收，工程质量符合标准、规范和设计图纸等要求，验收24小时后，甲方工程师不在验收记录上签字，视为甲方工程师已经认可验收记录，乙方可进行隐蔽或继续施工。</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4.2</w:t>
      </w:r>
      <w:r>
        <w:rPr>
          <w:rFonts w:hint="eastAsia" w:asciiTheme="minorEastAsia" w:hAnsiTheme="minorEastAsia" w:eastAsiaTheme="minorEastAsia" w:cstheme="minorEastAsia"/>
          <w:color w:val="auto"/>
          <w:sz w:val="28"/>
          <w:szCs w:val="28"/>
        </w:rPr>
        <w:t>重新检验</w:t>
      </w:r>
    </w:p>
    <w:p>
      <w:pPr>
        <w:adjustRightInd w:val="0"/>
        <w:snapToGrid w:val="0"/>
        <w:spacing w:before="78" w:beforeLines="25" w:after="78" w:afterLines="25" w:line="440" w:lineRule="exact"/>
        <w:ind w:firstLine="560" w:firstLineChars="200"/>
        <w:rPr>
          <w:rFonts w:ascii="宋体" w:hAnsi="宋体"/>
          <w:color w:val="auto"/>
          <w:sz w:val="24"/>
        </w:rPr>
      </w:pPr>
      <w:r>
        <w:rPr>
          <w:rFonts w:hint="eastAsia" w:asciiTheme="minorEastAsia" w:hAnsiTheme="minorEastAsia" w:eastAsiaTheme="minorEastAsia" w:cstheme="minorEastAsia"/>
          <w:color w:val="auto"/>
          <w:sz w:val="28"/>
          <w:szCs w:val="28"/>
        </w:rPr>
        <w:t>无论甲方和监理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4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第三节 </w:t>
      </w:r>
      <w:r>
        <w:rPr>
          <w:rFonts w:hint="eastAsia" w:ascii="宋体" w:hAnsi="宋体"/>
          <w:b/>
          <w:bCs/>
          <w:color w:val="auto"/>
          <w:sz w:val="28"/>
          <w:szCs w:val="28"/>
        </w:rPr>
        <w:t>材料设备供应</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材料、设备的检验和试验</w:t>
      </w:r>
    </w:p>
    <w:p>
      <w:pPr>
        <w:adjustRightInd w:val="0"/>
        <w:snapToGrid w:val="0"/>
        <w:spacing w:before="78" w:beforeLines="25" w:after="78" w:afterLines="25" w:line="440" w:lineRule="exact"/>
        <w:ind w:right="-101" w:rightChars="-48"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乙方应根据本工程规范和技术说明、国家有关施工验收规范、标准和建设行政主管部门现行规定的要求进行工程材料等的检验和试验以及出具试验报告；除非政府相关文件另有规定，所有检验和试验应委托具有相应资质的试验室完成，试验室的委托应经过甲方和监理、乙方认可。除非适用的工程技术规范有规定或合同中另有约定，乙方应进行的试验和检验项目（只要适用）应满足甲方或监理要求的其他检验项目、政府相关规范和文件中规定的其它检验和试验。</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乙方自行施工部分工程的检验和试验的费用由乙方承担，包括样品准备、送检、试验室委托、试验报告准备等等。</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乙方采购材料设备</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乙方负责采购材料设备的，应按照专用条款约定及设计和有关标准要求采购，并提供产品合格证明，对材料设备质量负责。乙方在材料设备到货前24小时通知甲方和监理工程师清点。</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乙方采购的材料设备与设计或标准要求不符时，乙方应按甲方和监理工程师要求的时间运出施工场地，重新采购符合要求的产品，承担由此发生的费用，由此延误的工期不予顺延。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乙方采购的材料设备在使用前，乙方应按甲方和监理工程师的要求进行检验或试验，不合格的不得使用，检验或试验费用由乙方承担。</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甲方或监理工程师发现乙方采购并使用不符合设计或标准要求的材料设备时，应要求由乙方负责修复、拆除或重新采购，并承担发生的费用，由此延误的工期不予顺延。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乙方需要使用代用材料时，应优于原设计使用的材料并经甲方和监理工程师认可后才能使用，由此增加的费用由乙方承担。</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乙方采购的材料必须严格按照投标时在投标文件中明确的品种、规格、质量等级等要求进行采购，采购的材料（包括甲定乙供材料）必须经监理和甲方代表验收后方能用于本工程，且必须符合施工图纸设计要求及国家有关标准；</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2.7</w:t>
      </w:r>
      <w:r>
        <w:rPr>
          <w:rFonts w:hint="eastAsia" w:asciiTheme="minorEastAsia" w:hAnsiTheme="minorEastAsia" w:eastAsiaTheme="minorEastAsia" w:cstheme="minorEastAsia"/>
          <w:color w:val="auto"/>
          <w:sz w:val="28"/>
          <w:szCs w:val="28"/>
        </w:rPr>
        <w:t>随时按监理工程师的要求，在制造、加工或准备地点或现场，或在合同规定的其他地方进行检查；</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2.8</w:t>
      </w:r>
      <w:r>
        <w:rPr>
          <w:rFonts w:hint="eastAsia" w:asciiTheme="minorEastAsia" w:hAnsiTheme="minorEastAsia" w:eastAsiaTheme="minorEastAsia" w:cstheme="minorEastAsia"/>
          <w:color w:val="auto"/>
          <w:sz w:val="28"/>
          <w:szCs w:val="28"/>
        </w:rPr>
        <w:t>在材料用于工程之前，乙方应按监理的选择和要求，提交有关的材料样品，以供检验；</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2.9</w:t>
      </w:r>
      <w:r>
        <w:rPr>
          <w:rFonts w:hint="eastAsia" w:asciiTheme="minorEastAsia" w:hAnsiTheme="minorEastAsia" w:eastAsiaTheme="minorEastAsia" w:cstheme="minorEastAsia"/>
          <w:color w:val="auto"/>
          <w:sz w:val="28"/>
          <w:szCs w:val="28"/>
        </w:rPr>
        <w:t>在材料用于工程之前，必须向监理工程师提交制造厂家出具的材料质量证明，证明该材料质量是合格的；</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2.10</w:t>
      </w:r>
      <w:r>
        <w:rPr>
          <w:rFonts w:hint="eastAsia" w:asciiTheme="minorEastAsia" w:hAnsiTheme="minorEastAsia" w:eastAsiaTheme="minorEastAsia" w:cstheme="minorEastAsia"/>
          <w:color w:val="auto"/>
          <w:sz w:val="28"/>
          <w:szCs w:val="28"/>
        </w:rPr>
        <w:t>需甲方签证价格的材料（包括暂定价材料）乙方在采购前必须征得甲方对质量、价格签证的书面同意；</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2.11</w:t>
      </w:r>
      <w:r>
        <w:rPr>
          <w:rFonts w:hint="eastAsia" w:asciiTheme="minorEastAsia" w:hAnsiTheme="minorEastAsia" w:eastAsiaTheme="minorEastAsia" w:cstheme="minorEastAsia"/>
          <w:color w:val="auto"/>
          <w:sz w:val="28"/>
          <w:szCs w:val="28"/>
        </w:rPr>
        <w:t>甲方或监理要求材料设备封样的，必须经甲方或监理认可封样后，方可使用；</w:t>
      </w:r>
    </w:p>
    <w:p>
      <w:pPr>
        <w:pStyle w:val="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2.12</w:t>
      </w:r>
      <w:r>
        <w:rPr>
          <w:rFonts w:hint="eastAsia" w:asciiTheme="minorEastAsia" w:hAnsiTheme="minorEastAsia" w:eastAsiaTheme="minorEastAsia" w:cstheme="minorEastAsia"/>
          <w:color w:val="auto"/>
          <w:sz w:val="28"/>
          <w:szCs w:val="28"/>
        </w:rPr>
        <w:t>甲方或监理对材料验收后，并不免除乙方材料不合格原因造成的后果及责任；</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2.13</w:t>
      </w:r>
      <w:r>
        <w:rPr>
          <w:rFonts w:hint="eastAsia" w:asciiTheme="minorEastAsia" w:hAnsiTheme="minorEastAsia" w:eastAsiaTheme="minorEastAsia" w:cstheme="minorEastAsia"/>
          <w:color w:val="auto"/>
          <w:sz w:val="28"/>
          <w:szCs w:val="28"/>
        </w:rPr>
        <w:t>根据工程需要，甲方有权对乙方投标时确认的品牌进行更换，更换后的材料由甲方有效工程签证进行结算。</w:t>
      </w:r>
    </w:p>
    <w:p>
      <w:pPr>
        <w:adjustRightInd w:val="0"/>
        <w:snapToGrid w:val="0"/>
        <w:spacing w:before="78" w:beforeLines="25" w:after="78" w:afterLines="25" w:line="44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第四节 </w:t>
      </w:r>
      <w:r>
        <w:rPr>
          <w:rFonts w:hint="eastAsia" w:ascii="宋体" w:hAnsi="宋体"/>
          <w:b/>
          <w:bCs/>
          <w:color w:val="auto"/>
          <w:sz w:val="28"/>
          <w:szCs w:val="28"/>
        </w:rPr>
        <w:t>竣工验收</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工程具备竣工验收条件，乙方按国家工程竣工验收有关规定，向甲方提供完整竣工资料及竣工验收报告。</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4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第五节 </w:t>
      </w:r>
      <w:r>
        <w:rPr>
          <w:rFonts w:hint="eastAsia" w:ascii="宋体" w:hAnsi="宋体"/>
          <w:b/>
          <w:bCs/>
          <w:color w:val="auto"/>
          <w:sz w:val="28"/>
          <w:szCs w:val="28"/>
        </w:rPr>
        <w:t>质量保修</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质保期：按《建设工程质量管理条例》规定执行。</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乙方应按法律、行政法规或国家关于工程质量保修的有关规定，对交付甲方使用的工程在质量保修期内承担质量保修责任。</w:t>
      </w:r>
    </w:p>
    <w:p>
      <w:pPr>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第六节 </w:t>
      </w:r>
      <w:r>
        <w:rPr>
          <w:rFonts w:hint="eastAsia" w:ascii="宋体" w:hAnsi="宋体"/>
          <w:b/>
          <w:bCs/>
          <w:color w:val="auto"/>
          <w:sz w:val="28"/>
          <w:szCs w:val="28"/>
        </w:rPr>
        <w:t>施工服务具体要求</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乙方需根据工程进度需要，按投标承诺派驻恰当的人员和合适的人员数量，满足现场施工服务的需求；采取何种措施保证到位率。</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为保证本工程的延续性，开工报告批准后至竣工决算阶段，严禁变更项目经理。如有变更施工人员，须经甲方同意且更换施工人员岗位证书和职称证书均不得低于被更换施工人员。</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乙方人员由甲方投标文件承诺的出勤率考勤，如有不到岗现象，项目经理不足22天按1000元人民币/天；技术负责人不足26天按800元人民币/天；安全员、质检员、施工员、预算员、资料员等不足26天按500元人民币/天；扣履约保证金。</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如本工程中检验批一次性未通过职能部门验收，扣除履约保证金2000元人民币/次；分项工程项目一次性未通过职能部门验收，扣除履约保证金5000元人民币/次；分部工程项目一次性未通过职能部门验收，扣除履约保证金10000元人民币/次；单位工程项目一次性未通过职能部门验收，扣除履约保证金50000元人民币/次。</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乙方应负责工程资料和竣工资料的收集工作，如属乙方原因造成工程竣工且竣工资料经质监站备案结束后一个月仍不能向招标人完成资料移交，甲方有权按照每延误一天5000元人民币的标准，扣除履约保证金。</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在施工过程中对工程量有变化必须及时签证，涉及工程量和变更价款的内容必须真实、准确，不能弄虚作假，一旦核实，将按所虚报金额的3倍扣除履约保证金。</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乙方必须承担因己方原因导致工期延误而造成的费用增加的风险，甲方不接受因工期延误原因造成的费用增加。乙方履责期间，应对施工现场实行标准化管理，严防重大质量、安全事故出现；若出现重大安全、质量事故，甲方将约谈法人代表，并按发生损失量的10%扣除履约保证金。</w:t>
      </w:r>
    </w:p>
    <w:p>
      <w:pPr>
        <w:adjustRightInd w:val="0"/>
        <w:snapToGrid w:val="0"/>
        <w:spacing w:before="78" w:beforeLines="25" w:after="78" w:afterLines="25" w:line="440" w:lineRule="exact"/>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为确保施工服务满足项目建设需求，甲乙双方同意按照《施工单位月度考核表》（见下表）每月对乙方的施工服务质量进行评分。甲方向乙方支付工程费时，每次应付款金额=在此期间各月度评分的平均分（百分比）乘以工程进度的应付款金额。</w:t>
      </w:r>
    </w:p>
    <w:p>
      <w:pPr>
        <w:adjustRightInd w:val="0"/>
        <w:snapToGrid w:val="0"/>
        <w:spacing w:before="78" w:beforeLines="25" w:after="78" w:afterLines="25" w:line="44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 xml:space="preserve">第十节 </w:t>
      </w:r>
      <w:r>
        <w:rPr>
          <w:rFonts w:hint="eastAsia" w:ascii="宋体" w:hAnsi="宋体"/>
          <w:b/>
          <w:bCs/>
          <w:color w:val="auto"/>
          <w:sz w:val="28"/>
          <w:szCs w:val="28"/>
        </w:rPr>
        <w:t>安全施工</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乙方应严格遵守工程建设安全文明施工的有关规定。认真落实各项安全保护措施，并随时接受甲方或监理工程师及有关部门的监督检查。</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如由于乙方原因和与乙方有关的第三方原因造成事故的责任和由此发生的费用，由乙方承担。</w:t>
      </w:r>
    </w:p>
    <w:p>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51AAB"/>
    <w:multiLevelType w:val="singleLevel"/>
    <w:tmpl w:val="D0D51AAB"/>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DhkMzMwMDJmYTU2YWNkNTRmYmIyNTQ5ZmMzNzQifQ=="/>
  </w:docVars>
  <w:rsids>
    <w:rsidRoot w:val="46F112E6"/>
    <w:rsid w:val="02E6509A"/>
    <w:rsid w:val="216F7FDB"/>
    <w:rsid w:val="27066912"/>
    <w:rsid w:val="2A114A31"/>
    <w:rsid w:val="2C35005E"/>
    <w:rsid w:val="2E6442FE"/>
    <w:rsid w:val="405014B2"/>
    <w:rsid w:val="43361572"/>
    <w:rsid w:val="46F112E6"/>
    <w:rsid w:val="4AA01875"/>
    <w:rsid w:val="4CC254E6"/>
    <w:rsid w:val="4FD23C92"/>
    <w:rsid w:val="577A62B9"/>
    <w:rsid w:val="586D266D"/>
    <w:rsid w:val="5A823254"/>
    <w:rsid w:val="5C80535A"/>
    <w:rsid w:val="5F294F51"/>
    <w:rsid w:val="5FAD7930"/>
    <w:rsid w:val="7258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6894</Words>
  <Characters>7176</Characters>
  <Lines>0</Lines>
  <Paragraphs>0</Paragraphs>
  <TotalTime>11</TotalTime>
  <ScaleCrop>false</ScaleCrop>
  <LinksUpToDate>false</LinksUpToDate>
  <CharactersWithSpaces>7241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2023-03-03T01:07:00Z</dcterms:created>
  <dc:creator>一个人的世界</dc:creator>
  <cp:lastModifiedBy>一个人的世界</cp:lastModifiedBy>
  <dcterms:modified xsi:type="dcterms:W3CDTF">2023-09-13T08:09:49Z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91CE23879CAD478CB8609EE66FF12F0B_13</vt:lpwstr>
  </property>
</Properties>
</file>