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44"/>
          <w:szCs w:val="44"/>
        </w:rPr>
      </w:pPr>
      <w:bookmarkStart w:id="0" w:name="_Toc10029793"/>
      <w:bookmarkStart w:id="1" w:name="_Toc10030179"/>
      <w:bookmarkStart w:id="2" w:name="_Toc17390"/>
      <w:bookmarkStart w:id="3" w:name="_Toc10034537"/>
      <w:bookmarkStart w:id="4" w:name="_Toc10030202"/>
      <w:bookmarkStart w:id="5" w:name="_Toc10030133"/>
      <w:bookmarkStart w:id="6" w:name="_Toc10030156"/>
      <w:bookmarkStart w:id="7" w:name="_Toc31551"/>
    </w:p>
    <w:p>
      <w:pPr>
        <w:jc w:val="center"/>
        <w:rPr>
          <w:rFonts w:ascii="宋体" w:hAnsi="宋体" w:eastAsia="宋体" w:cs="宋体"/>
          <w:b/>
          <w:bCs/>
          <w:sz w:val="48"/>
          <w:szCs w:val="48"/>
        </w:rPr>
      </w:pPr>
      <w:r>
        <w:rPr>
          <w:rFonts w:hint="eastAsia" w:ascii="宋体" w:hAnsi="宋体" w:eastAsia="宋体" w:cs="宋体"/>
          <w:b/>
          <w:bCs/>
          <w:sz w:val="48"/>
          <w:szCs w:val="48"/>
        </w:rPr>
        <w:t>广西百色矿山机械厂有限公司</w:t>
      </w:r>
    </w:p>
    <w:p>
      <w:pPr>
        <w:jc w:val="center"/>
        <w:rPr>
          <w:rFonts w:ascii="宋体" w:hAnsi="宋体" w:eastAsia="宋体" w:cs="宋体"/>
          <w:b/>
          <w:bCs/>
          <w:color w:val="000000"/>
          <w:sz w:val="44"/>
          <w:szCs w:val="44"/>
        </w:rPr>
      </w:pPr>
      <w:r>
        <w:rPr>
          <w:rFonts w:hint="eastAsia" w:ascii="微软雅黑" w:hAnsi="微软雅黑" w:eastAsia="微软雅黑" w:cs="微软雅黑"/>
          <w:b/>
          <w:bCs/>
          <w:sz w:val="52"/>
          <w:szCs w:val="52"/>
          <w:lang w:val="en-US" w:eastAsia="zh-CN"/>
        </w:rPr>
        <w:t>15</w:t>
      </w:r>
      <w:r>
        <w:rPr>
          <w:rFonts w:hint="eastAsia" w:ascii="微软雅黑" w:hAnsi="微软雅黑" w:eastAsia="微软雅黑" w:cs="微软雅黑"/>
          <w:b/>
          <w:bCs/>
          <w:sz w:val="52"/>
          <w:szCs w:val="52"/>
        </w:rPr>
        <w:t>台皮带机安装项目劳务外包</w:t>
      </w:r>
    </w:p>
    <w:p>
      <w:pPr>
        <w:pStyle w:val="25"/>
        <w:rPr>
          <w:rFonts w:ascii="宋体" w:hAnsi="宋体" w:cs="宋体"/>
          <w:b/>
          <w:bCs/>
          <w:sz w:val="44"/>
          <w:szCs w:val="44"/>
        </w:rPr>
      </w:pPr>
    </w:p>
    <w:p>
      <w:pPr>
        <w:pStyle w:val="25"/>
        <w:rPr>
          <w:rFonts w:ascii="宋体" w:hAnsi="宋体" w:cs="宋体"/>
          <w:b/>
          <w:bCs/>
          <w:sz w:val="44"/>
          <w:szCs w:val="44"/>
        </w:rPr>
      </w:pPr>
    </w:p>
    <w:p>
      <w:pPr>
        <w:pStyle w:val="25"/>
        <w:rPr>
          <w:rFonts w:ascii="宋体" w:hAnsi="宋体" w:cs="宋体"/>
          <w:b/>
          <w:bCs/>
          <w:sz w:val="44"/>
          <w:szCs w:val="44"/>
        </w:rPr>
      </w:pPr>
    </w:p>
    <w:p>
      <w:pPr>
        <w:pStyle w:val="25"/>
        <w:jc w:val="center"/>
        <w:rPr>
          <w:rFonts w:ascii="宋体" w:hAnsi="宋体" w:cs="宋体"/>
          <w:b/>
          <w:bCs/>
          <w:sz w:val="48"/>
          <w:szCs w:val="48"/>
        </w:rPr>
      </w:pPr>
      <w:r>
        <w:rPr>
          <w:rFonts w:hint="eastAsia" w:ascii="宋体" w:hAnsi="宋体" w:cs="宋体"/>
          <w:b/>
          <w:bCs/>
          <w:sz w:val="84"/>
          <w:szCs w:val="84"/>
        </w:rPr>
        <w:t>技 术 任 务 书</w:t>
      </w:r>
    </w:p>
    <w:p>
      <w:pPr>
        <w:pStyle w:val="25"/>
        <w:spacing w:line="800" w:lineRule="exact"/>
        <w:jc w:val="both"/>
        <w:rPr>
          <w:rFonts w:ascii="微软雅黑" w:hAnsi="微软雅黑" w:eastAsia="微软雅黑" w:cs="微软雅黑"/>
          <w:b/>
          <w:bCs/>
          <w:sz w:val="30"/>
          <w:szCs w:val="30"/>
        </w:rPr>
      </w:pPr>
    </w:p>
    <w:p>
      <w:pPr>
        <w:pStyle w:val="25"/>
        <w:spacing w:line="800" w:lineRule="exact"/>
        <w:jc w:val="both"/>
        <w:rPr>
          <w:rFonts w:ascii="微软雅黑" w:hAnsi="微软雅黑" w:eastAsia="微软雅黑" w:cs="微软雅黑"/>
          <w:b/>
          <w:bCs/>
          <w:sz w:val="30"/>
          <w:szCs w:val="30"/>
        </w:rPr>
      </w:pPr>
    </w:p>
    <w:p>
      <w:pPr>
        <w:pStyle w:val="25"/>
        <w:spacing w:line="800" w:lineRule="exact"/>
        <w:ind w:firstLine="2941" w:firstLineChars="980"/>
        <w:jc w:val="both"/>
        <w:rPr>
          <w:rFonts w:ascii="微软雅黑" w:hAnsi="微软雅黑" w:eastAsia="微软雅黑" w:cs="微软雅黑"/>
          <w:b/>
          <w:bCs/>
          <w:sz w:val="30"/>
          <w:szCs w:val="30"/>
        </w:rPr>
      </w:pPr>
    </w:p>
    <w:p>
      <w:pPr>
        <w:pStyle w:val="25"/>
        <w:spacing w:line="800" w:lineRule="exact"/>
        <w:ind w:firstLine="2891" w:firstLineChars="800"/>
        <w:jc w:val="both"/>
        <w:rPr>
          <w:rFonts w:hint="eastAsia" w:ascii="宋体" w:hAnsi="宋体" w:eastAsia="宋体" w:cs="宋体"/>
          <w:b/>
          <w:bCs/>
          <w:sz w:val="36"/>
          <w:szCs w:val="36"/>
          <w:u w:val="single"/>
        </w:rPr>
      </w:pPr>
      <w:r>
        <w:rPr>
          <w:rFonts w:hint="eastAsia" w:ascii="宋体" w:hAnsi="宋体" w:eastAsia="宋体" w:cs="宋体"/>
          <w:b/>
          <w:bCs/>
          <w:sz w:val="36"/>
          <w:szCs w:val="36"/>
        </w:rPr>
        <w:t>编制</w:t>
      </w:r>
      <w:r>
        <w:rPr>
          <w:rFonts w:hint="eastAsia" w:ascii="宋体" w:hAnsi="宋体" w:eastAsia="宋体" w:cs="宋体"/>
          <w:b/>
          <w:bCs/>
          <w:sz w:val="36"/>
          <w:szCs w:val="36"/>
          <w:lang w:eastAsia="zh-CN"/>
        </w:rPr>
        <w:t>：</w:t>
      </w:r>
      <w:r>
        <w:rPr>
          <w:rFonts w:hint="eastAsia" w:ascii="宋体" w:hAnsi="宋体" w:eastAsia="宋体" w:cs="宋体"/>
          <w:b/>
          <w:bCs/>
          <w:sz w:val="36"/>
          <w:szCs w:val="36"/>
          <w:u w:val="single"/>
        </w:rPr>
        <w:t xml:space="preserve">             </w:t>
      </w:r>
    </w:p>
    <w:p>
      <w:pPr>
        <w:pStyle w:val="25"/>
        <w:spacing w:line="800" w:lineRule="exact"/>
        <w:ind w:firstLine="2891" w:firstLineChars="800"/>
        <w:jc w:val="both"/>
        <w:rPr>
          <w:rFonts w:hint="eastAsia" w:ascii="宋体" w:hAnsi="宋体" w:eastAsia="宋体" w:cs="宋体"/>
          <w:b/>
          <w:bCs/>
          <w:sz w:val="36"/>
          <w:szCs w:val="36"/>
          <w:u w:val="single"/>
        </w:rPr>
      </w:pPr>
      <w:r>
        <w:rPr>
          <w:rFonts w:hint="eastAsia" w:ascii="宋体" w:hAnsi="宋体" w:eastAsia="宋体" w:cs="宋体"/>
          <w:b/>
          <w:bCs/>
          <w:sz w:val="36"/>
          <w:szCs w:val="36"/>
        </w:rPr>
        <w:t>审核</w:t>
      </w:r>
      <w:r>
        <w:rPr>
          <w:rFonts w:hint="eastAsia" w:ascii="宋体" w:hAnsi="宋体" w:eastAsia="宋体" w:cs="宋体"/>
          <w:b/>
          <w:bCs/>
          <w:sz w:val="36"/>
          <w:szCs w:val="36"/>
          <w:lang w:eastAsia="zh-CN"/>
        </w:rPr>
        <w:t>：</w:t>
      </w:r>
      <w:r>
        <w:rPr>
          <w:rFonts w:hint="eastAsia" w:ascii="宋体" w:hAnsi="宋体" w:eastAsia="宋体" w:cs="宋体"/>
          <w:b/>
          <w:bCs/>
          <w:sz w:val="36"/>
          <w:szCs w:val="36"/>
          <w:u w:val="single"/>
        </w:rPr>
        <w:t xml:space="preserve">             </w:t>
      </w:r>
    </w:p>
    <w:p>
      <w:pPr>
        <w:rPr>
          <w:rFonts w:ascii="微软雅黑" w:hAnsi="微软雅黑" w:eastAsia="微软雅黑" w:cs="微软雅黑"/>
          <w:kern w:val="0"/>
          <w:szCs w:val="21"/>
        </w:rPr>
      </w:pPr>
    </w:p>
    <w:p>
      <w:pPr>
        <w:pStyle w:val="7"/>
      </w:pPr>
    </w:p>
    <w:p/>
    <w:p>
      <w:pPr>
        <w:pStyle w:val="25"/>
      </w:pPr>
    </w:p>
    <w:p>
      <w:pPr>
        <w:pStyle w:val="25"/>
        <w:jc w:val="center"/>
        <w:rPr>
          <w:rFonts w:ascii="宋体" w:hAnsi="宋体" w:cs="宋体"/>
          <w:b/>
          <w:bCs/>
          <w:sz w:val="36"/>
          <w:szCs w:val="36"/>
        </w:rPr>
      </w:pPr>
      <w:r>
        <w:rPr>
          <w:rFonts w:hint="eastAsia" w:ascii="宋体" w:hAnsi="宋体" w:cs="宋体"/>
          <w:b/>
          <w:bCs/>
          <w:sz w:val="36"/>
          <w:szCs w:val="36"/>
        </w:rPr>
        <w:t>广西百色矿山机械厂有限公司</w:t>
      </w:r>
    </w:p>
    <w:p>
      <w:pPr>
        <w:pStyle w:val="25"/>
        <w:jc w:val="center"/>
        <w:rPr>
          <w:rFonts w:ascii="微软雅黑" w:hAnsi="微软雅黑" w:eastAsia="微软雅黑" w:cs="微软雅黑"/>
          <w:b/>
          <w:bCs/>
          <w:sz w:val="36"/>
          <w:szCs w:val="36"/>
        </w:rPr>
      </w:pPr>
      <w:r>
        <w:rPr>
          <w:rFonts w:hint="eastAsia" w:ascii="宋体" w:hAnsi="宋体" w:cs="宋体"/>
          <w:b/>
          <w:bCs/>
          <w:sz w:val="36"/>
          <w:szCs w:val="36"/>
        </w:rPr>
        <w:t>日期：     年   月   日</w:t>
      </w:r>
    </w:p>
    <w:p>
      <w:pPr>
        <w:ind w:firstLine="2249" w:firstLineChars="700"/>
        <w:rPr>
          <w:rFonts w:ascii="宋体" w:cs="宋体"/>
          <w:b/>
          <w:bCs/>
          <w:szCs w:val="32"/>
        </w:rPr>
      </w:pPr>
    </w:p>
    <w:p>
      <w:pPr>
        <w:widowControl/>
        <w:spacing w:line="360" w:lineRule="auto"/>
        <w:jc w:val="left"/>
        <w:outlineLvl w:val="0"/>
        <w:rPr>
          <w:rFonts w:ascii="宋体" w:hAnsi="宋体" w:eastAsia="宋体" w:cs="宋体"/>
          <w:b/>
          <w:bCs/>
          <w:sz w:val="24"/>
          <w:szCs w:val="24"/>
        </w:rPr>
      </w:pPr>
      <w:bookmarkStart w:id="8" w:name="_Toc5570"/>
      <w:r>
        <w:rPr>
          <w:rFonts w:hint="eastAsia" w:ascii="宋体" w:hAnsi="宋体" w:eastAsia="宋体" w:cs="宋体"/>
          <w:b/>
          <w:bCs/>
          <w:sz w:val="24"/>
          <w:szCs w:val="24"/>
        </w:rPr>
        <w:t>一、总则</w:t>
      </w:r>
      <w:bookmarkEnd w:id="8"/>
    </w:p>
    <w:p>
      <w:pPr>
        <w:numPr>
          <w:ilvl w:val="0"/>
          <w:numId w:val="2"/>
        </w:numPr>
        <w:tabs>
          <w:tab w:val="left" w:pos="420"/>
        </w:tabs>
        <w:spacing w:line="360" w:lineRule="auto"/>
        <w:ind w:left="284" w:hanging="284"/>
        <w:jc w:val="left"/>
        <w:rPr>
          <w:rFonts w:asciiTheme="minorEastAsia" w:hAnsiTheme="minorEastAsia" w:eastAsiaTheme="minorEastAsia"/>
          <w:sz w:val="24"/>
        </w:rPr>
      </w:pPr>
      <w:r>
        <w:rPr>
          <w:rFonts w:hint="eastAsia" w:asciiTheme="minorEastAsia" w:hAnsiTheme="minorEastAsia" w:eastAsiaTheme="minorEastAsia"/>
          <w:sz w:val="24"/>
        </w:rPr>
        <w:t>本招标技术条件仅适用于招标方承接广西百色矿山机械厂有限公司</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台带式输送机安装项目的劳务外包，除项目本身原材料由招标方提供</w:t>
      </w:r>
      <w:r>
        <w:rPr>
          <w:rFonts w:hint="eastAsia" w:asciiTheme="minorEastAsia" w:hAnsiTheme="minorEastAsia" w:eastAsiaTheme="minorEastAsia"/>
          <w:sz w:val="24"/>
          <w:lang w:eastAsia="zh-CN"/>
        </w:rPr>
        <w:t>、以及安装用吊车由业主提供外</w:t>
      </w:r>
      <w:r>
        <w:rPr>
          <w:rFonts w:hint="eastAsia" w:asciiTheme="minorEastAsia" w:hAnsiTheme="minorEastAsia" w:eastAsiaTheme="minorEastAsia"/>
          <w:sz w:val="24"/>
        </w:rPr>
        <w:t>，安装所需的所有工具及耗材辅材、劳保、安全管理等均由投标方负责。</w:t>
      </w:r>
    </w:p>
    <w:p>
      <w:pPr>
        <w:numPr>
          <w:ilvl w:val="0"/>
          <w:numId w:val="2"/>
        </w:numPr>
        <w:tabs>
          <w:tab w:val="left" w:pos="420"/>
        </w:tabs>
        <w:spacing w:line="360" w:lineRule="auto"/>
        <w:ind w:left="284" w:hanging="284"/>
        <w:jc w:val="left"/>
        <w:rPr>
          <w:rFonts w:asciiTheme="minorEastAsia" w:hAnsiTheme="minorEastAsia" w:eastAsiaTheme="minorEastAsia"/>
          <w:sz w:val="24"/>
        </w:rPr>
      </w:pPr>
      <w:r>
        <w:rPr>
          <w:rFonts w:hint="eastAsia" w:asciiTheme="minorEastAsia" w:hAnsiTheme="minorEastAsia" w:eastAsiaTheme="minorEastAsia"/>
          <w:sz w:val="24"/>
        </w:rPr>
        <w:t>本招标技术条件提出的是最低限度的技术要求，并未对一切技术细节做出规定，也未充分引述有关标准、规程和规范的条文，投标方保证提供符合本技术条件和有关中国国家标准(GB系列)和有关行业最新标准要求的服务；同时满足中国国家有关安全、环保等强制性法规、标准的要求。但不能免除投标方在保证单体设备和整个系统正常运行、性能符合本技术条件要求方面应承担的责任。</w:t>
      </w:r>
    </w:p>
    <w:p>
      <w:pPr>
        <w:numPr>
          <w:ilvl w:val="0"/>
          <w:numId w:val="2"/>
        </w:numPr>
        <w:tabs>
          <w:tab w:val="left" w:pos="420"/>
        </w:tabs>
        <w:spacing w:line="360" w:lineRule="auto"/>
        <w:ind w:left="284" w:hanging="284"/>
        <w:jc w:val="left"/>
        <w:rPr>
          <w:rFonts w:asciiTheme="minorEastAsia" w:hAnsiTheme="minorEastAsia" w:eastAsiaTheme="minorEastAsia"/>
          <w:sz w:val="24"/>
        </w:rPr>
      </w:pPr>
      <w:bookmarkStart w:id="9" w:name="_Toc108846256"/>
      <w:r>
        <w:rPr>
          <w:rFonts w:hint="eastAsia" w:asciiTheme="minorEastAsia" w:hAnsiTheme="minorEastAsia" w:eastAsiaTheme="minorEastAsia"/>
          <w:sz w:val="24"/>
        </w:rPr>
        <w:t>投标方应按照招标方要求的时间、内容深度提供所需要的施工文件及设备资料等，并按照工程进度要求随时修正。在签订合同之后到投标方开始安装之日的时间段内，招标方有权提出因标准、规程和规范发生变化而产生的一些补充和修改要求，导致合同设备配置上有局部微小调整，投标方必须负责局部的调整，并保证合同总价不变</w:t>
      </w:r>
      <w:bookmarkEnd w:id="9"/>
      <w:bookmarkStart w:id="10" w:name="_Toc108846257"/>
      <w:r>
        <w:rPr>
          <w:rFonts w:hint="eastAsia" w:asciiTheme="minorEastAsia" w:hAnsiTheme="minorEastAsia" w:eastAsiaTheme="minorEastAsia"/>
          <w:sz w:val="24"/>
        </w:rPr>
        <w:t>。</w:t>
      </w:r>
    </w:p>
    <w:p>
      <w:pPr>
        <w:numPr>
          <w:ilvl w:val="0"/>
          <w:numId w:val="2"/>
        </w:numPr>
        <w:tabs>
          <w:tab w:val="left" w:pos="420"/>
        </w:tabs>
        <w:spacing w:line="360" w:lineRule="auto"/>
        <w:ind w:left="284" w:hanging="284"/>
        <w:jc w:val="left"/>
        <w:rPr>
          <w:rFonts w:asciiTheme="minorEastAsia" w:hAnsiTheme="minorEastAsia" w:eastAsiaTheme="minorEastAsia"/>
          <w:sz w:val="24"/>
        </w:rPr>
      </w:pPr>
      <w:r>
        <w:rPr>
          <w:rFonts w:hint="eastAsia" w:asciiTheme="minorEastAsia" w:hAnsiTheme="minorEastAsia" w:eastAsiaTheme="minorEastAsia"/>
          <w:sz w:val="24"/>
        </w:rPr>
        <w:t>本招标技术条件所使用的标准如与投标方所执行的标准水平不一致时，按较高标准执行</w:t>
      </w:r>
      <w:bookmarkEnd w:id="10"/>
      <w:r>
        <w:rPr>
          <w:rFonts w:hint="eastAsia" w:asciiTheme="minorEastAsia" w:hAnsiTheme="minorEastAsia" w:eastAsiaTheme="minorEastAsia"/>
          <w:sz w:val="24"/>
        </w:rPr>
        <w:t>。</w:t>
      </w:r>
      <w:bookmarkStart w:id="11" w:name="_Toc108846259"/>
      <w:r>
        <w:rPr>
          <w:rFonts w:hint="eastAsia" w:asciiTheme="minorEastAsia" w:hAnsiTheme="minorEastAsia" w:eastAsiaTheme="minorEastAsia"/>
          <w:sz w:val="24"/>
        </w:rPr>
        <w:t>如果本招标技术条件与现行使用的有关国家标准以及部颁标准有明显抵触的条文，投标方应及时书面通知招标方进行解决。</w:t>
      </w:r>
    </w:p>
    <w:bookmarkEnd w:id="11"/>
    <w:p>
      <w:pPr>
        <w:numPr>
          <w:ilvl w:val="0"/>
          <w:numId w:val="2"/>
        </w:numPr>
        <w:tabs>
          <w:tab w:val="left" w:pos="420"/>
        </w:tabs>
        <w:spacing w:line="360" w:lineRule="auto"/>
        <w:ind w:left="284" w:hanging="284"/>
        <w:jc w:val="left"/>
        <w:rPr>
          <w:rFonts w:asciiTheme="minorEastAsia" w:hAnsiTheme="minorEastAsia" w:eastAsiaTheme="minorEastAsia"/>
          <w:sz w:val="24"/>
        </w:rPr>
      </w:pPr>
      <w:r>
        <w:rPr>
          <w:rFonts w:hint="eastAsia" w:asciiTheme="minorEastAsia" w:hAnsiTheme="minorEastAsia" w:eastAsiaTheme="minorEastAsia"/>
          <w:sz w:val="24"/>
        </w:rPr>
        <w:t>如果投标方没有以书面方式对本技术条件的条文提出异议，招标方将认为投标方提供的服务完全符合本技术条件的要求。</w:t>
      </w:r>
    </w:p>
    <w:p>
      <w:pPr>
        <w:autoSpaceDE w:val="0"/>
        <w:autoSpaceDN w:val="0"/>
        <w:adjustRightInd w:val="0"/>
        <w:snapToGrid w:val="0"/>
        <w:spacing w:beforeLines="25" w:afterLines="25" w:line="440" w:lineRule="exact"/>
        <w:jc w:val="left"/>
        <w:rPr>
          <w:rFonts w:cs="微软雅黑" w:asciiTheme="minorEastAsia" w:hAnsiTheme="minorEastAsia" w:eastAsiaTheme="minorEastAsia"/>
          <w:b/>
          <w:sz w:val="24"/>
        </w:rPr>
      </w:pPr>
    </w:p>
    <w:p>
      <w:pPr>
        <w:tabs>
          <w:tab w:val="left" w:pos="567"/>
        </w:tabs>
        <w:snapToGrid w:val="0"/>
        <w:spacing w:line="360" w:lineRule="auto"/>
        <w:rPr>
          <w:rFonts w:asciiTheme="majorEastAsia" w:hAnsiTheme="majorEastAsia" w:eastAsiaTheme="majorEastAsia"/>
          <w:b/>
          <w:sz w:val="24"/>
        </w:rPr>
      </w:pPr>
      <w:r>
        <w:rPr>
          <w:rFonts w:hint="eastAsia" w:asciiTheme="majorEastAsia" w:hAnsiTheme="majorEastAsia" w:eastAsiaTheme="majorEastAsia"/>
          <w:b/>
          <w:sz w:val="24"/>
        </w:rPr>
        <w:t>二、环境条件</w:t>
      </w:r>
    </w:p>
    <w:p>
      <w:pPr>
        <w:autoSpaceDE w:val="0"/>
        <w:autoSpaceDN w:val="0"/>
        <w:adjustRightInd w:val="0"/>
        <w:snapToGrid w:val="0"/>
        <w:spacing w:beforeLines="25" w:afterLines="25"/>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2.1 项目地址：中旗（广西）硅晶新材料有限公司罗城县小长安镇工业园区</w:t>
      </w:r>
    </w:p>
    <w:p>
      <w:pPr>
        <w:autoSpaceDE w:val="0"/>
        <w:autoSpaceDN w:val="0"/>
        <w:adjustRightInd w:val="0"/>
        <w:snapToGrid w:val="0"/>
        <w:spacing w:beforeLines="25" w:afterLines="25"/>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2.2 供电条件：</w:t>
      </w:r>
      <w:r>
        <w:rPr>
          <w:rFonts w:asciiTheme="minorEastAsia" w:hAnsiTheme="minorEastAsia" w:eastAsiaTheme="minorEastAsia"/>
          <w:sz w:val="24"/>
        </w:rPr>
        <w:t xml:space="preserve">  </w:t>
      </w:r>
      <w:r>
        <w:rPr>
          <w:rFonts w:hint="eastAsia" w:asciiTheme="minorEastAsia" w:hAnsiTheme="minorEastAsia" w:eastAsiaTheme="minorEastAsia"/>
          <w:sz w:val="24"/>
        </w:rPr>
        <w:t>10KV（</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三相四线式 AC 380/220V （±</w:t>
      </w:r>
      <w:r>
        <w:rPr>
          <w:rFonts w:hint="eastAsia" w:asciiTheme="minorEastAsia" w:hAnsiTheme="minorEastAsia" w:eastAsiaTheme="minorEastAsia"/>
          <w:sz w:val="24"/>
        </w:rPr>
        <w:t>10</w:t>
      </w:r>
      <w:r>
        <w:rPr>
          <w:rFonts w:asciiTheme="minorEastAsia" w:hAnsiTheme="minorEastAsia" w:eastAsiaTheme="minorEastAsia"/>
          <w:sz w:val="24"/>
        </w:rPr>
        <w:t>%），50HZ（±5%）</w:t>
      </w:r>
    </w:p>
    <w:p>
      <w:pPr>
        <w:pStyle w:val="7"/>
        <w:rPr>
          <w:lang w:val="en-US"/>
        </w:rPr>
      </w:pPr>
    </w:p>
    <w:p>
      <w:pPr>
        <w:tabs>
          <w:tab w:val="left" w:pos="567"/>
        </w:tabs>
        <w:snapToGrid w:val="0"/>
        <w:spacing w:line="360" w:lineRule="auto"/>
        <w:rPr>
          <w:rFonts w:asciiTheme="majorEastAsia" w:hAnsiTheme="majorEastAsia" w:eastAsiaTheme="majorEastAsia"/>
          <w:b/>
          <w:sz w:val="24"/>
        </w:rPr>
      </w:pPr>
      <w:r>
        <w:rPr>
          <w:rFonts w:hint="eastAsia" w:asciiTheme="majorEastAsia" w:hAnsiTheme="majorEastAsia" w:eastAsiaTheme="majorEastAsia"/>
          <w:b/>
          <w:sz w:val="24"/>
        </w:rPr>
        <w:t>三、主要技术参数及承包范围</w:t>
      </w:r>
    </w:p>
    <w:p>
      <w:pPr>
        <w:autoSpaceDE w:val="0"/>
        <w:autoSpaceDN w:val="0"/>
        <w:adjustRightInd w:val="0"/>
        <w:snapToGrid w:val="0"/>
        <w:spacing w:beforeLines="25" w:afterLines="25"/>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3.1、项目技术参数及承包范围</w:t>
      </w:r>
    </w:p>
    <w:p>
      <w:pPr>
        <w:pStyle w:val="7"/>
        <w:adjustRightInd w:val="0"/>
        <w:snapToGrid w:val="0"/>
        <w:ind w:firstLine="480" w:firstLineChars="200"/>
        <w:rPr>
          <w:rFonts w:ascii="微软雅黑" w:hAnsi="微软雅黑" w:eastAsia="微软雅黑" w:cs="微软雅黑"/>
          <w:sz w:val="24"/>
          <w:lang w:val="en-US"/>
        </w:rPr>
      </w:pPr>
      <w:r>
        <w:rPr>
          <w:rFonts w:hint="eastAsia" w:ascii="微软雅黑" w:hAnsi="微软雅黑" w:eastAsia="微软雅黑" w:cs="微软雅黑"/>
          <w:sz w:val="24"/>
          <w:lang w:val="en-US"/>
        </w:rPr>
        <w:t>3.1.1项目</w:t>
      </w:r>
      <w:r>
        <w:rPr>
          <w:rFonts w:hint="eastAsia" w:ascii="微软雅黑" w:hAnsi="微软雅黑" w:eastAsia="微软雅黑" w:cs="微软雅黑"/>
          <w:sz w:val="24"/>
        </w:rPr>
        <w:t>技术参数及</w:t>
      </w:r>
      <w:r>
        <w:rPr>
          <w:rFonts w:hint="eastAsia" w:ascii="微软雅黑" w:hAnsi="微软雅黑" w:eastAsia="微软雅黑" w:cs="微软雅黑"/>
          <w:sz w:val="24"/>
          <w:lang w:val="en-US"/>
        </w:rPr>
        <w:t>承包范围详见如下列表：</w:t>
      </w:r>
    </w:p>
    <w:tbl>
      <w:tblPr>
        <w:tblStyle w:val="20"/>
        <w:tblW w:w="933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02"/>
        <w:gridCol w:w="1808"/>
        <w:gridCol w:w="690"/>
        <w:gridCol w:w="1085"/>
        <w:gridCol w:w="1060"/>
        <w:gridCol w:w="147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78"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202"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设备名称</w:t>
            </w:r>
          </w:p>
        </w:tc>
        <w:tc>
          <w:tcPr>
            <w:tcW w:w="1808"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规格及型号</w:t>
            </w:r>
          </w:p>
        </w:tc>
        <w:tc>
          <w:tcPr>
            <w:tcW w:w="690"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数量(台)</w:t>
            </w:r>
          </w:p>
        </w:tc>
        <w:tc>
          <w:tcPr>
            <w:tcW w:w="2145" w:type="dxa"/>
            <w:gridSpan w:val="2"/>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重量（kg）</w:t>
            </w:r>
          </w:p>
        </w:tc>
        <w:tc>
          <w:tcPr>
            <w:tcW w:w="1477"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安装位置</w:t>
            </w:r>
          </w:p>
        </w:tc>
        <w:tc>
          <w:tcPr>
            <w:tcW w:w="1530" w:type="dxa"/>
            <w:vMerge w:val="restart"/>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78" w:type="dxa"/>
            <w:vMerge w:val="continue"/>
            <w:noWrap/>
            <w:vAlign w:val="center"/>
          </w:tcPr>
          <w:p>
            <w:pPr>
              <w:adjustRightInd w:val="0"/>
              <w:snapToGrid w:val="0"/>
              <w:spacing w:line="300" w:lineRule="exact"/>
              <w:jc w:val="center"/>
              <w:rPr>
                <w:rFonts w:ascii="微软雅黑" w:hAnsi="微软雅黑" w:eastAsia="微软雅黑" w:cs="微软雅黑"/>
                <w:sz w:val="21"/>
                <w:szCs w:val="21"/>
              </w:rPr>
            </w:pPr>
          </w:p>
        </w:tc>
        <w:tc>
          <w:tcPr>
            <w:tcW w:w="1202" w:type="dxa"/>
            <w:vMerge w:val="continue"/>
            <w:noWrap/>
            <w:vAlign w:val="center"/>
          </w:tcPr>
          <w:p>
            <w:pPr>
              <w:adjustRightInd w:val="0"/>
              <w:snapToGrid w:val="0"/>
              <w:spacing w:line="300" w:lineRule="exact"/>
              <w:jc w:val="center"/>
              <w:rPr>
                <w:rFonts w:ascii="微软雅黑" w:hAnsi="微软雅黑" w:eastAsia="微软雅黑" w:cs="微软雅黑"/>
                <w:sz w:val="21"/>
                <w:szCs w:val="21"/>
              </w:rPr>
            </w:pPr>
          </w:p>
        </w:tc>
        <w:tc>
          <w:tcPr>
            <w:tcW w:w="1808" w:type="dxa"/>
            <w:vMerge w:val="continue"/>
            <w:noWrap/>
            <w:vAlign w:val="center"/>
          </w:tcPr>
          <w:p>
            <w:pPr>
              <w:adjustRightInd w:val="0"/>
              <w:snapToGrid w:val="0"/>
              <w:spacing w:line="300" w:lineRule="exact"/>
              <w:jc w:val="center"/>
              <w:rPr>
                <w:rFonts w:ascii="微软雅黑" w:hAnsi="微软雅黑" w:eastAsia="微软雅黑" w:cs="微软雅黑"/>
                <w:sz w:val="21"/>
                <w:szCs w:val="21"/>
              </w:rPr>
            </w:pPr>
          </w:p>
        </w:tc>
        <w:tc>
          <w:tcPr>
            <w:tcW w:w="690" w:type="dxa"/>
            <w:vMerge w:val="continue"/>
            <w:noWrap/>
            <w:vAlign w:val="center"/>
          </w:tcPr>
          <w:p>
            <w:pPr>
              <w:adjustRightInd w:val="0"/>
              <w:snapToGrid w:val="0"/>
              <w:spacing w:line="300" w:lineRule="exact"/>
              <w:jc w:val="center"/>
              <w:rPr>
                <w:rFonts w:ascii="微软雅黑" w:hAnsi="微软雅黑" w:eastAsia="微软雅黑" w:cs="微软雅黑"/>
                <w:sz w:val="21"/>
                <w:szCs w:val="21"/>
              </w:rPr>
            </w:pP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单台</w:t>
            </w:r>
          </w:p>
        </w:tc>
        <w:tc>
          <w:tcPr>
            <w:tcW w:w="106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合计</w:t>
            </w:r>
          </w:p>
        </w:tc>
        <w:tc>
          <w:tcPr>
            <w:tcW w:w="1477" w:type="dxa"/>
            <w:vMerge w:val="continue"/>
            <w:tcBorders>
              <w:bottom w:val="single" w:color="auto" w:sz="4" w:space="0"/>
            </w:tcBorders>
            <w:noWrap/>
            <w:vAlign w:val="center"/>
          </w:tcPr>
          <w:p>
            <w:pPr>
              <w:adjustRightInd w:val="0"/>
              <w:snapToGrid w:val="0"/>
              <w:spacing w:line="300" w:lineRule="exact"/>
              <w:jc w:val="center"/>
              <w:rPr>
                <w:rFonts w:ascii="微软雅黑" w:hAnsi="微软雅黑" w:eastAsia="微软雅黑" w:cs="微软雅黑"/>
                <w:sz w:val="21"/>
                <w:szCs w:val="21"/>
              </w:rPr>
            </w:pPr>
          </w:p>
        </w:tc>
        <w:tc>
          <w:tcPr>
            <w:tcW w:w="1530" w:type="dxa"/>
            <w:vMerge w:val="continue"/>
            <w:noWrap/>
            <w:vAlign w:val="center"/>
          </w:tcPr>
          <w:p>
            <w:pPr>
              <w:adjustRightInd w:val="0"/>
              <w:snapToGrid w:val="0"/>
              <w:spacing w:line="300" w:lineRule="exact"/>
              <w:jc w:val="center"/>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bookmarkStart w:id="12" w:name="OLE_LINK1" w:colFirst="2" w:colLast="2"/>
            <w:r>
              <w:rPr>
                <w:rFonts w:hint="eastAsia" w:ascii="微软雅黑" w:hAnsi="微软雅黑" w:eastAsia="微软雅黑" w:cs="微软雅黑"/>
                <w:sz w:val="21"/>
                <w:szCs w:val="21"/>
              </w:rPr>
              <w:t>1</w:t>
            </w:r>
          </w:p>
        </w:tc>
        <w:tc>
          <w:tcPr>
            <w:tcW w:w="1202"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B1000x73.5m α=14º，Q=550t/h，V=1.6m/s，P=75kW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085" w:type="dxa"/>
            <w:tcBorders>
              <w:right w:val="single" w:color="auto" w:sz="4" w:space="0"/>
            </w:tcBorders>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18300</w:t>
            </w:r>
          </w:p>
        </w:tc>
        <w:tc>
          <w:tcPr>
            <w:tcW w:w="1060" w:type="dxa"/>
            <w:tcBorders>
              <w:right w:val="single" w:color="auto" w:sz="4" w:space="0"/>
            </w:tcBorders>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18300</w:t>
            </w:r>
          </w:p>
        </w:tc>
        <w:tc>
          <w:tcPr>
            <w:tcW w:w="14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破碎线</w:t>
            </w:r>
          </w:p>
        </w:tc>
        <w:tc>
          <w:tcPr>
            <w:tcW w:w="1530" w:type="dxa"/>
            <w:tcBorders>
              <w:left w:val="single" w:color="auto" w:sz="4" w:space="0"/>
            </w:tcBorders>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CB101</w:t>
            </w:r>
          </w:p>
          <w:p>
            <w:pPr>
              <w:pStyle w:val="7"/>
              <w:jc w:val="center"/>
              <w:rPr>
                <w:lang w:val="en-US"/>
              </w:rPr>
            </w:pPr>
            <w:r>
              <w:rPr>
                <w:rFonts w:hint="eastAsia" w:ascii="微软雅黑" w:hAnsi="微软雅黑" w:eastAsia="微软雅黑" w:cs="微软雅黑"/>
                <w:sz w:val="21"/>
                <w:szCs w:val="21"/>
                <w:lang w:val="en-US"/>
              </w:rPr>
              <w:t>普通胶带</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202"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B1200x75.5m，α=0º~12°，Q=800t/h，V=2.0m/s，P=90kW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22700</w:t>
            </w: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22700</w:t>
            </w:r>
          </w:p>
        </w:tc>
        <w:tc>
          <w:tcPr>
            <w:tcW w:w="1477" w:type="dxa"/>
            <w:tcBorders>
              <w:top w:val="single" w:color="auto" w:sz="4" w:space="0"/>
            </w:tcBorders>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破碎至筛分线</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CB102</w:t>
            </w:r>
          </w:p>
          <w:p>
            <w:pPr>
              <w:pStyle w:val="7"/>
              <w:jc w:val="center"/>
              <w:rPr>
                <w:lang w:val="en-US"/>
              </w:rPr>
            </w:pPr>
            <w:r>
              <w:rPr>
                <w:rFonts w:hint="eastAsia" w:ascii="微软雅黑" w:hAnsi="微软雅黑" w:eastAsia="微软雅黑" w:cs="微软雅黑"/>
                <w:sz w:val="21"/>
                <w:szCs w:val="21"/>
                <w:lang w:val="en-US"/>
              </w:rPr>
              <w:t>普通胶带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202"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B1000x65m</w:t>
            </w:r>
          </w:p>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α=14º，Q=450t/h，V=1.6m/s，P=55kW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17100</w:t>
            </w: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17100</w:t>
            </w:r>
          </w:p>
        </w:tc>
        <w:tc>
          <w:tcPr>
            <w:tcW w:w="1477"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筛分至破碎线</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CB103</w:t>
            </w:r>
          </w:p>
          <w:p>
            <w:pPr>
              <w:pStyle w:val="7"/>
              <w:jc w:val="center"/>
              <w:rPr>
                <w:lang w:val="en-US"/>
              </w:rPr>
            </w:pPr>
            <w:r>
              <w:rPr>
                <w:rFonts w:hint="eastAsia" w:ascii="微软雅黑" w:hAnsi="微软雅黑" w:eastAsia="微软雅黑" w:cs="微软雅黑"/>
                <w:sz w:val="21"/>
                <w:szCs w:val="21"/>
                <w:lang w:val="en-US"/>
              </w:rPr>
              <w:t>普通胶带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202" w:type="dxa"/>
            <w:noWrap/>
            <w:vAlign w:val="center"/>
          </w:tcPr>
          <w:p>
            <w:pPr>
              <w:pStyle w:val="6"/>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B1000X73.35m，α=15º，Q=350t/h，V=1.6m/s，P=55kW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18570</w:t>
            </w: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18570</w:t>
            </w:r>
          </w:p>
        </w:tc>
        <w:tc>
          <w:tcPr>
            <w:tcW w:w="1477"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筛分入库</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CB104</w:t>
            </w:r>
          </w:p>
          <w:p>
            <w:pPr>
              <w:pStyle w:val="7"/>
              <w:jc w:val="center"/>
              <w:rPr>
                <w:lang w:val="en-US"/>
              </w:rPr>
            </w:pPr>
            <w:r>
              <w:rPr>
                <w:rFonts w:hint="eastAsia" w:ascii="微软雅黑" w:hAnsi="微软雅黑" w:eastAsia="微软雅黑" w:cs="微软雅黑"/>
                <w:sz w:val="21"/>
                <w:szCs w:val="21"/>
                <w:lang w:val="en-US"/>
              </w:rPr>
              <w:t>普通胶带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202" w:type="dxa"/>
            <w:noWrap/>
            <w:vAlign w:val="center"/>
          </w:tcPr>
          <w:p>
            <w:pPr>
              <w:pStyle w:val="6"/>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可逆输送带式输送机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B1000x6m</w:t>
            </w:r>
          </w:p>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α=0º，V=1.6m/s，Q=350t/h，P=11kW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4290</w:t>
            </w: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4290</w:t>
            </w:r>
          </w:p>
        </w:tc>
        <w:tc>
          <w:tcPr>
            <w:tcW w:w="1477"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13米库顶</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CB105</w:t>
            </w:r>
          </w:p>
          <w:p>
            <w:pPr>
              <w:pStyle w:val="7"/>
              <w:jc w:val="center"/>
              <w:rPr>
                <w:lang w:val="en-US"/>
              </w:rPr>
            </w:pPr>
            <w:r>
              <w:rPr>
                <w:rFonts w:hint="eastAsia" w:ascii="微软雅黑" w:hAnsi="微软雅黑" w:eastAsia="微软雅黑" w:cs="微软雅黑"/>
                <w:sz w:val="21"/>
                <w:szCs w:val="21"/>
                <w:lang w:val="en-US"/>
              </w:rPr>
              <w:t>普通胶带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202" w:type="dxa"/>
            <w:noWrap/>
            <w:vAlign w:val="center"/>
          </w:tcPr>
          <w:p>
            <w:pPr>
              <w:pStyle w:val="6"/>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B650x18.3m，α=12º，V=0.8m/s，Q=60t/h，P=5.5kW</w:t>
            </w:r>
          </w:p>
        </w:tc>
        <w:tc>
          <w:tcPr>
            <w:tcW w:w="69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2850</w:t>
            </w: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5700</w:t>
            </w:r>
          </w:p>
        </w:tc>
        <w:tc>
          <w:tcPr>
            <w:tcW w:w="1477"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库底入棒磨机</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CB201/ CB202</w:t>
            </w:r>
          </w:p>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普通胶带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可逆输送带式输送机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B650x4.5m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α=0º，V=0.8m/s，Q=70t/h，P=5.5kW</w:t>
            </w:r>
          </w:p>
        </w:tc>
        <w:tc>
          <w:tcPr>
            <w:tcW w:w="690"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1570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1570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酸洗罐顶接斗提机</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CB301</w:t>
            </w:r>
          </w:p>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白色环形胶带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B650x19m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α=0º，V=0.8m/s，Q=70t/h，P=5.5kW</w:t>
            </w:r>
          </w:p>
        </w:tc>
        <w:tc>
          <w:tcPr>
            <w:tcW w:w="690" w:type="dxa"/>
            <w:noWrap/>
            <w:vAlign w:val="center"/>
          </w:tcPr>
          <w:p>
            <w:pPr>
              <w:adjustRightInd w:val="0"/>
              <w:snapToGrid w:val="0"/>
              <w:spacing w:line="300" w:lineRule="exact"/>
              <w:jc w:val="center"/>
              <w:rPr>
                <w:rFonts w:ascii="微软雅黑" w:hAnsi="微软雅黑" w:eastAsia="微软雅黑" w:cs="微软雅黑"/>
                <w:color w:val="FF0000"/>
                <w:kern w:val="2"/>
                <w:sz w:val="21"/>
                <w:szCs w:val="21"/>
                <w:lang w:val="en-US" w:eastAsia="zh-CN" w:bidi="ar-SA"/>
              </w:rPr>
            </w:pPr>
            <w:r>
              <w:rPr>
                <w:rFonts w:hint="eastAsia" w:ascii="微软雅黑" w:hAnsi="微软雅黑" w:eastAsia="微软雅黑" w:cs="微软雅黑"/>
                <w:sz w:val="21"/>
                <w:szCs w:val="21"/>
              </w:rPr>
              <w:t>2</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1120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2240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酸洗罐顶</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CB302/304</w:t>
            </w:r>
          </w:p>
          <w:p>
            <w:pPr>
              <w:pStyle w:val="7"/>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rPr>
              <w:t>白色胶带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B650x40m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α=0º，V=0.8m/s，Q=60t/h，P=7.5kW</w:t>
            </w:r>
          </w:p>
        </w:tc>
        <w:tc>
          <w:tcPr>
            <w:tcW w:w="690"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5200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10400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脱水罐底至斗提机</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CB306/307</w:t>
            </w:r>
          </w:p>
          <w:p>
            <w:pPr>
              <w:pStyle w:val="7"/>
              <w:jc w:val="center"/>
              <w:rPr>
                <w:rFonts w:ascii="Times New Roman" w:hAnsi="Times New Roman" w:eastAsia="楷体_GB2312" w:cs="Times New Roman"/>
                <w:kern w:val="2"/>
                <w:sz w:val="32"/>
                <w:lang w:val="en-US" w:eastAsia="zh-CN" w:bidi="ar-SA"/>
              </w:rPr>
            </w:pPr>
            <w:r>
              <w:rPr>
                <w:rFonts w:hint="eastAsia" w:ascii="微软雅黑" w:hAnsi="微软雅黑" w:eastAsia="微软雅黑" w:cs="微软雅黑"/>
                <w:sz w:val="21"/>
                <w:szCs w:val="21"/>
                <w:lang w:val="en-US"/>
              </w:rPr>
              <w:t>白色胶带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B650x23m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α=16º，V=0.8m/s，Q=70t/h，P=5.5kW</w:t>
            </w:r>
          </w:p>
        </w:tc>
        <w:tc>
          <w:tcPr>
            <w:tcW w:w="690"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2900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2900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压滤机下</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CB-01</w:t>
            </w:r>
          </w:p>
          <w:p>
            <w:pPr>
              <w:pStyle w:val="7"/>
              <w:jc w:val="center"/>
              <w:rPr>
                <w:rFonts w:ascii="Times New Roman" w:hAnsi="Times New Roman" w:eastAsia="楷体_GB2312" w:cs="Times New Roman"/>
                <w:kern w:val="2"/>
                <w:sz w:val="32"/>
                <w:lang w:val="en-US" w:eastAsia="zh-CN" w:bidi="ar-SA"/>
              </w:rPr>
            </w:pPr>
            <w:r>
              <w:rPr>
                <w:rFonts w:hint="eastAsia" w:ascii="微软雅黑" w:hAnsi="微软雅黑" w:eastAsia="微软雅黑" w:cs="微软雅黑"/>
                <w:sz w:val="21"/>
                <w:szCs w:val="21"/>
                <w:lang w:val="en-US"/>
              </w:rPr>
              <w:t>白色胶带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钢桁架式带式输送机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B650x22m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α=0º，V=0.8m/s，Q=70t/h，P=5.5kW</w:t>
            </w:r>
          </w:p>
        </w:tc>
        <w:tc>
          <w:tcPr>
            <w:tcW w:w="690"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5540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5540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至回转堆料皮带机</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CB-02</w:t>
            </w:r>
          </w:p>
          <w:p>
            <w:pPr>
              <w:pStyle w:val="7"/>
              <w:jc w:val="center"/>
              <w:rPr>
                <w:rFonts w:ascii="Times New Roman" w:hAnsi="Times New Roman" w:eastAsia="楷体_GB2312" w:cs="Times New Roman"/>
                <w:kern w:val="2"/>
                <w:sz w:val="32"/>
                <w:lang w:val="en-US" w:eastAsia="zh-CN" w:bidi="ar-SA"/>
              </w:rPr>
            </w:pPr>
            <w:r>
              <w:rPr>
                <w:rFonts w:hint="eastAsia" w:ascii="微软雅黑" w:hAnsi="微软雅黑" w:eastAsia="微软雅黑" w:cs="微软雅黑"/>
                <w:sz w:val="21"/>
                <w:szCs w:val="21"/>
                <w:lang w:val="en-US"/>
              </w:rPr>
              <w:t>白色胶带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8" w:type="dxa"/>
            <w:noWrap/>
            <w:vAlign w:val="center"/>
          </w:tcPr>
          <w:p>
            <w:pPr>
              <w:adjustRightInd w:val="0"/>
              <w:snapToGrid w:val="0"/>
              <w:spacing w:line="300" w:lineRule="exact"/>
              <w:jc w:val="center"/>
              <w:rPr>
                <w:rFonts w:ascii="微软雅黑" w:hAnsi="微软雅黑" w:eastAsia="微软雅黑" w:cs="微软雅黑"/>
                <w:sz w:val="21"/>
                <w:szCs w:val="21"/>
              </w:rPr>
            </w:pPr>
            <w:bookmarkStart w:id="17" w:name="_GoBack" w:colFirst="6" w:colLast="6"/>
            <w:r>
              <w:rPr>
                <w:rFonts w:hint="eastAsia" w:ascii="微软雅黑" w:hAnsi="微软雅黑" w:eastAsia="微软雅黑" w:cs="微软雅黑"/>
                <w:sz w:val="21"/>
                <w:szCs w:val="21"/>
              </w:rPr>
              <w:t>12</w:t>
            </w:r>
          </w:p>
        </w:tc>
        <w:tc>
          <w:tcPr>
            <w:tcW w:w="1202" w:type="dxa"/>
            <w:noWrap/>
            <w:vAlign w:val="center"/>
          </w:tcPr>
          <w:p>
            <w:pPr>
              <w:pStyle w:val="6"/>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带式输送机</w:t>
            </w:r>
          </w:p>
        </w:tc>
        <w:tc>
          <w:tcPr>
            <w:tcW w:w="1808" w:type="dxa"/>
            <w:noWrap/>
            <w:vAlign w:val="center"/>
          </w:tcPr>
          <w:p>
            <w:pPr>
              <w:pStyle w:val="6"/>
              <w:adjustRightInd w:val="0"/>
              <w:snapToGrid w:val="0"/>
              <w:spacing w:line="300" w:lineRule="exact"/>
              <w:rPr>
                <w:rFonts w:ascii="微软雅黑" w:hAnsi="微软雅黑" w:eastAsia="微软雅黑" w:cs="微软雅黑"/>
                <w:sz w:val="21"/>
                <w:szCs w:val="21"/>
              </w:rPr>
            </w:pPr>
            <w:r>
              <w:rPr>
                <w:rFonts w:hint="eastAsia" w:ascii="微软雅黑" w:hAnsi="微软雅黑" w:eastAsia="微软雅黑" w:cs="微软雅黑"/>
                <w:sz w:val="21"/>
                <w:szCs w:val="21"/>
              </w:rPr>
              <w:t>B650x27.5m</w:t>
            </w:r>
          </w:p>
          <w:p>
            <w:pPr>
              <w:pStyle w:val="6"/>
              <w:adjustRightInd w:val="0"/>
              <w:snapToGrid w:val="0"/>
              <w:spacing w:line="300" w:lineRule="exact"/>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α=19º，V=0.8m/s，Q=45t/h，P=7.5kW</w:t>
            </w:r>
          </w:p>
        </w:tc>
        <w:tc>
          <w:tcPr>
            <w:tcW w:w="690"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1</w:t>
            </w:r>
          </w:p>
        </w:tc>
        <w:tc>
          <w:tcPr>
            <w:tcW w:w="1085"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3280</w:t>
            </w:r>
          </w:p>
        </w:tc>
        <w:tc>
          <w:tcPr>
            <w:tcW w:w="1060" w:type="dxa"/>
            <w:noWrap/>
            <w:vAlign w:val="center"/>
          </w:tcPr>
          <w:p>
            <w:pPr>
              <w:adjustRightInd w:val="0"/>
              <w:snapToGrid w:val="0"/>
              <w:spacing w:line="300" w:lineRule="exact"/>
              <w:jc w:val="center"/>
              <w:rPr>
                <w:rFonts w:ascii="微软雅黑" w:hAnsi="微软雅黑" w:eastAsia="微软雅黑" w:cs="微软雅黑"/>
                <w:kern w:val="2"/>
                <w:sz w:val="21"/>
                <w:lang w:val="en-US" w:eastAsia="zh-CN" w:bidi="ar-SA"/>
              </w:rPr>
            </w:pPr>
            <w:r>
              <w:rPr>
                <w:rFonts w:hint="eastAsia" w:ascii="微软雅黑" w:hAnsi="微软雅黑" w:eastAsia="微软雅黑" w:cs="微软雅黑"/>
                <w:sz w:val="21"/>
              </w:rPr>
              <w:t>3280</w:t>
            </w:r>
          </w:p>
        </w:tc>
        <w:tc>
          <w:tcPr>
            <w:tcW w:w="1477" w:type="dxa"/>
            <w:noWrap/>
            <w:vAlign w:val="center"/>
          </w:tcPr>
          <w:p>
            <w:pPr>
              <w:adjustRightInd w:val="0"/>
              <w:snapToGrid w:val="0"/>
              <w:spacing w:line="3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料场至烘干机</w:t>
            </w: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1-CB102</w:t>
            </w:r>
          </w:p>
          <w:p>
            <w:pPr>
              <w:pStyle w:val="7"/>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rPr>
              <w:t>普通胶带</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88" w:type="dxa"/>
            <w:gridSpan w:val="3"/>
            <w:noWrap/>
            <w:vAlign w:val="center"/>
          </w:tcPr>
          <w:p>
            <w:pPr>
              <w:adjustRightInd w:val="0"/>
              <w:snapToGrid w:val="0"/>
              <w:spacing w:line="3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合  计</w:t>
            </w:r>
          </w:p>
        </w:tc>
        <w:tc>
          <w:tcPr>
            <w:tcW w:w="690" w:type="dxa"/>
            <w:noWrap/>
            <w:vAlign w:val="center"/>
          </w:tcPr>
          <w:p>
            <w:pPr>
              <w:adjustRightInd w:val="0"/>
              <w:snapToGrid w:val="0"/>
              <w:spacing w:line="300" w:lineRule="exact"/>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w:t>
            </w:r>
          </w:p>
        </w:tc>
        <w:tc>
          <w:tcPr>
            <w:tcW w:w="1085" w:type="dxa"/>
            <w:noWrap/>
            <w:vAlign w:val="center"/>
          </w:tcPr>
          <w:p>
            <w:pPr>
              <w:adjustRightInd w:val="0"/>
              <w:snapToGrid w:val="0"/>
              <w:spacing w:line="300" w:lineRule="exact"/>
              <w:jc w:val="center"/>
              <w:rPr>
                <w:rFonts w:ascii="微软雅黑" w:hAnsi="微软雅黑" w:eastAsia="微软雅黑" w:cs="微软雅黑"/>
                <w:sz w:val="21"/>
                <w:szCs w:val="21"/>
              </w:rPr>
            </w:pPr>
          </w:p>
        </w:tc>
        <w:tc>
          <w:tcPr>
            <w:tcW w:w="1060" w:type="dxa"/>
            <w:noWrap/>
            <w:vAlign w:val="center"/>
          </w:tcPr>
          <w:p>
            <w:pPr>
              <w:adjustRightInd w:val="0"/>
              <w:snapToGrid w:val="0"/>
              <w:spacing w:line="300" w:lineRule="exact"/>
              <w:jc w:val="center"/>
              <w:rPr>
                <w:rFonts w:ascii="微软雅黑" w:hAnsi="微软雅黑" w:eastAsia="微软雅黑" w:cs="微软雅黑"/>
                <w:sz w:val="21"/>
              </w:rPr>
            </w:pPr>
            <w:r>
              <w:rPr>
                <w:rFonts w:hint="eastAsia" w:ascii="微软雅黑" w:hAnsi="微软雅黑" w:eastAsia="微软雅黑" w:cs="微软雅黑"/>
                <w:sz w:val="21"/>
              </w:rPr>
              <w:t>1</w:t>
            </w:r>
            <w:r>
              <w:rPr>
                <w:rFonts w:hint="eastAsia" w:ascii="微软雅黑" w:hAnsi="微软雅黑" w:eastAsia="微软雅黑" w:cs="微软雅黑"/>
                <w:sz w:val="21"/>
                <w:lang w:val="en-US" w:eastAsia="zh-CN"/>
              </w:rPr>
              <w:t>125</w:t>
            </w:r>
            <w:r>
              <w:rPr>
                <w:rFonts w:hint="eastAsia" w:ascii="微软雅黑" w:hAnsi="微软雅黑" w:eastAsia="微软雅黑" w:cs="微软雅黑"/>
                <w:sz w:val="21"/>
              </w:rPr>
              <w:t>90</w:t>
            </w:r>
          </w:p>
        </w:tc>
        <w:tc>
          <w:tcPr>
            <w:tcW w:w="1477" w:type="dxa"/>
            <w:noWrap/>
            <w:vAlign w:val="center"/>
          </w:tcPr>
          <w:p>
            <w:pPr>
              <w:adjustRightInd w:val="0"/>
              <w:snapToGrid w:val="0"/>
              <w:spacing w:line="300" w:lineRule="exact"/>
              <w:jc w:val="center"/>
              <w:rPr>
                <w:rFonts w:ascii="微软雅黑" w:hAnsi="微软雅黑" w:eastAsia="微软雅黑" w:cs="微软雅黑"/>
                <w:sz w:val="21"/>
                <w:szCs w:val="21"/>
              </w:rPr>
            </w:pPr>
          </w:p>
        </w:tc>
        <w:tc>
          <w:tcPr>
            <w:tcW w:w="1530" w:type="dxa"/>
            <w:noWrap/>
            <w:vAlign w:val="center"/>
          </w:tcPr>
          <w:p>
            <w:pPr>
              <w:adjustRightInd w:val="0"/>
              <w:snapToGrid w:val="0"/>
              <w:spacing w:line="300" w:lineRule="exact"/>
              <w:jc w:val="center"/>
              <w:rPr>
                <w:rFonts w:ascii="微软雅黑" w:hAnsi="微软雅黑" w:eastAsia="微软雅黑" w:cs="微软雅黑"/>
                <w:sz w:val="21"/>
                <w:szCs w:val="21"/>
              </w:rPr>
            </w:pPr>
          </w:p>
        </w:tc>
      </w:tr>
    </w:tbl>
    <w:p>
      <w:pPr>
        <w:autoSpaceDE w:val="0"/>
        <w:autoSpaceDN w:val="0"/>
        <w:adjustRightInd w:val="0"/>
        <w:snapToGrid w:val="0"/>
        <w:spacing w:beforeLines="25" w:afterLines="25"/>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3.1.2、材料：设备所用材料即2.1.1表中所列图号图纸所包含的所有材料以及现场所需油漆均为招标方提供，</w:t>
      </w:r>
      <w:r>
        <w:rPr>
          <w:rFonts w:hint="eastAsia" w:ascii="微软雅黑" w:hAnsi="微软雅黑" w:eastAsia="微软雅黑" w:cs="微软雅黑"/>
          <w:sz w:val="24"/>
          <w:lang w:eastAsia="zh-CN"/>
        </w:rPr>
        <w:t>安装用吊车由业主提供，</w:t>
      </w:r>
      <w:r>
        <w:rPr>
          <w:rFonts w:hint="eastAsia" w:ascii="微软雅黑" w:hAnsi="微软雅黑" w:eastAsia="微软雅黑" w:cs="微软雅黑"/>
          <w:sz w:val="24"/>
        </w:rPr>
        <w:t>其余均为投标方自备（如辅材、电焊丝、电焊机、氧枪、切割气体、必要的工装等）。</w:t>
      </w:r>
    </w:p>
    <w:p>
      <w:pPr>
        <w:pStyle w:val="7"/>
        <w:rPr>
          <w:lang w:val="en-US"/>
        </w:rPr>
      </w:pPr>
    </w:p>
    <w:p>
      <w:pPr>
        <w:tabs>
          <w:tab w:val="left" w:pos="567"/>
        </w:tabs>
        <w:snapToGrid w:val="0"/>
        <w:spacing w:line="360" w:lineRule="auto"/>
        <w:rPr>
          <w:rFonts w:asciiTheme="majorEastAsia" w:hAnsiTheme="majorEastAsia" w:eastAsiaTheme="majorEastAsia"/>
          <w:b/>
          <w:sz w:val="24"/>
        </w:rPr>
      </w:pPr>
      <w:r>
        <w:rPr>
          <w:rFonts w:hint="eastAsia" w:asciiTheme="majorEastAsia" w:hAnsiTheme="majorEastAsia" w:eastAsiaTheme="majorEastAsia"/>
          <w:b/>
          <w:sz w:val="24"/>
        </w:rPr>
        <w:t>四、投标人具备条件</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4.1 资质要求：</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4.1.1 在中国境内注册，有独立法人资格和承担民事责任的能力。</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4.1.2 遵守中华人民共和国有关法律、法规和条例。</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4.1.3 具备劳务派遣</w:t>
      </w:r>
      <w:r>
        <w:rPr>
          <w:rFonts w:ascii="微软雅黑" w:hAnsi="微软雅黑" w:eastAsia="微软雅黑" w:cs="微软雅黑"/>
          <w:sz w:val="24"/>
          <w:szCs w:val="24"/>
        </w:rPr>
        <w:t>或劳务分包</w:t>
      </w:r>
      <w:r>
        <w:rPr>
          <w:rFonts w:hint="eastAsia" w:ascii="微软雅黑" w:hAnsi="微软雅黑" w:eastAsia="微软雅黑" w:cs="微软雅黑"/>
          <w:sz w:val="24"/>
          <w:szCs w:val="24"/>
        </w:rPr>
        <w:t>资质</w:t>
      </w:r>
      <w:r>
        <w:rPr>
          <w:rFonts w:hint="eastAsia" w:ascii="微软雅黑" w:hAnsi="微软雅黑" w:eastAsia="微软雅黑" w:cs="微软雅黑"/>
          <w:sz w:val="24"/>
          <w:szCs w:val="24"/>
          <w:lang w:eastAsia="zh-CN"/>
        </w:rPr>
        <w:t>或</w:t>
      </w:r>
      <w:r>
        <w:rPr>
          <w:rFonts w:hint="eastAsia" w:ascii="微软雅黑" w:hAnsi="微软雅黑" w:eastAsia="微软雅黑" w:cs="微软雅黑"/>
          <w:sz w:val="24"/>
          <w:szCs w:val="24"/>
        </w:rPr>
        <w:t>；</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4.2  业绩要求：近3年内不少于2个</w:t>
      </w:r>
      <w:r>
        <w:rPr>
          <w:rFonts w:hint="eastAsia" w:ascii="微软雅黑" w:hAnsi="微软雅黑" w:eastAsia="微软雅黑" w:cs="微软雅黑"/>
          <w:sz w:val="24"/>
          <w:szCs w:val="24"/>
          <w:lang w:eastAsia="zh-CN"/>
        </w:rPr>
        <w:t>皮带机安装</w:t>
      </w:r>
      <w:r>
        <w:rPr>
          <w:rFonts w:hint="eastAsia" w:ascii="微软雅黑" w:hAnsi="微软雅黑" w:eastAsia="微软雅黑" w:cs="微软雅黑"/>
          <w:sz w:val="24"/>
          <w:szCs w:val="24"/>
        </w:rPr>
        <w:t>业绩。</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4.3  近年来有较好业绩，且无不良商业行为、劳务纠纷行为，无重伤以上安全事故发生。</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投标方对上述范围内的项目实行包工期、包质量、包安全文明施工、包验收、闭口包干全过程承包。</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 xml:space="preserve"> 承包要求：不得转包第三方或擅自分包。</w:t>
      </w:r>
    </w:p>
    <w:p/>
    <w:p>
      <w:pPr>
        <w:tabs>
          <w:tab w:val="left" w:pos="567"/>
        </w:tabs>
        <w:snapToGrid w:val="0"/>
        <w:spacing w:line="360" w:lineRule="auto"/>
        <w:rPr>
          <w:rFonts w:asciiTheme="majorEastAsia" w:hAnsiTheme="majorEastAsia" w:eastAsiaTheme="majorEastAsia"/>
          <w:b/>
          <w:sz w:val="24"/>
        </w:rPr>
      </w:pPr>
      <w:r>
        <w:rPr>
          <w:rFonts w:hint="eastAsia" w:asciiTheme="majorEastAsia" w:hAnsiTheme="majorEastAsia" w:eastAsiaTheme="majorEastAsia"/>
          <w:b/>
          <w:sz w:val="24"/>
        </w:rPr>
        <w:t>五、安装技术要求</w:t>
      </w:r>
    </w:p>
    <w:p>
      <w:pPr>
        <w:adjustRightInd w:val="0"/>
        <w:snapToGrid w:val="0"/>
        <w:spacing w:line="440" w:lineRule="exact"/>
        <w:ind w:firstLine="566" w:firstLineChars="236"/>
        <w:rPr>
          <w:rFonts w:ascii="微软雅黑" w:hAnsi="微软雅黑" w:eastAsia="微软雅黑" w:cs="微软雅黑"/>
          <w:sz w:val="24"/>
          <w:szCs w:val="24"/>
        </w:rPr>
      </w:pPr>
      <w:r>
        <w:rPr>
          <w:rFonts w:hint="eastAsia" w:ascii="微软雅黑" w:hAnsi="微软雅黑" w:eastAsia="微软雅黑" w:cs="微软雅黑"/>
          <w:sz w:val="24"/>
          <w:szCs w:val="24"/>
        </w:rPr>
        <w:t>根据皮带机安装的技术要求合理的布置皮带机支架，使之符合图纸施工要求。</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 机架安装技术要求</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5.1.1 机架中心线与输送机纵向中心线应重合，其偏差不得大于3mm。</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5.1.2 机架中心线的直线度偏差在任意25m长度内不得大于5mm。</w:t>
      </w:r>
    </w:p>
    <w:p>
      <w:pPr>
        <w:adjustRightInd w:val="0"/>
        <w:snapToGrid w:val="0"/>
        <w:spacing w:line="440" w:lineRule="exact"/>
        <w:rPr>
          <w:rFonts w:ascii="微软雅黑" w:hAnsi="微软雅黑" w:eastAsia="微软雅黑" w:cs="微软雅黑"/>
          <w:sz w:val="24"/>
          <w:szCs w:val="24"/>
        </w:rPr>
      </w:pPr>
      <w:r>
        <w:rPr>
          <w:rFonts w:hint="eastAsia" w:ascii="微软雅黑" w:hAnsi="微软雅黑" w:eastAsia="微软雅黑" w:cs="微软雅黑"/>
          <w:sz w:val="24"/>
          <w:szCs w:val="24"/>
        </w:rPr>
        <w:t>5.1.3 在垂直于机架纵向中心线的平面内，机架横截面两对角线长度之差，不得大于两对角线长度平均值的3/1000。</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5.1.4 机架支腿对基础地面的垂直度偏差不得大于2/1000。</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5.1.5 中间架的间距偏差不得大于±1.5mm，高低差不得大于间距的2/1000。</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5.1.6 机架接头处的左右偏移偏差和高低差不得大于1mm。</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5.2 托辊安装。</w:t>
      </w:r>
    </w:p>
    <w:p>
      <w:pPr>
        <w:adjustRightInd w:val="0"/>
        <w:snapToGrid w:val="0"/>
        <w:spacing w:line="440" w:lineRule="exact"/>
        <w:ind w:left="480" w:leftChars="150" w:firstLine="86" w:firstLineChars="36"/>
        <w:rPr>
          <w:rFonts w:ascii="微软雅黑" w:hAnsi="微软雅黑" w:eastAsia="微软雅黑" w:cs="微软雅黑"/>
          <w:sz w:val="24"/>
          <w:szCs w:val="24"/>
        </w:rPr>
      </w:pPr>
      <w:r>
        <w:rPr>
          <w:rFonts w:hint="eastAsia" w:ascii="微软雅黑" w:hAnsi="微软雅黑" w:eastAsia="微软雅黑" w:cs="微软雅黑"/>
          <w:sz w:val="24"/>
          <w:szCs w:val="24"/>
        </w:rPr>
        <w:t>安装工艺要求合理的选择托辊，使之布置符合施工要求。</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5.2.1 托辊安装技术要求。</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5.2.1.1 托辊横向中心线与输送机纵向中心线应重合，其偏差不得大于3mm。</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5.2.1.2对于非用于调心或过渡的托辊辊子，其上表面母线应位于同一片面或同一半径的弧面上，且相邻三组托辊的辊子上表面母线的相对标高差不应大于2mm。</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5.3 机头安装</w:t>
      </w:r>
    </w:p>
    <w:p>
      <w:pPr>
        <w:adjustRightInd w:val="0"/>
        <w:snapToGrid w:val="0"/>
        <w:spacing w:line="440" w:lineRule="exact"/>
        <w:ind w:firstLine="424" w:firstLineChars="177"/>
        <w:rPr>
          <w:rFonts w:ascii="微软雅黑" w:hAnsi="微软雅黑" w:eastAsia="微软雅黑" w:cs="微软雅黑"/>
          <w:sz w:val="24"/>
          <w:szCs w:val="24"/>
        </w:rPr>
      </w:pPr>
      <w:r>
        <w:rPr>
          <w:rFonts w:hint="eastAsia" w:ascii="微软雅黑" w:hAnsi="微软雅黑" w:eastAsia="微软雅黑" w:cs="微软雅黑"/>
          <w:sz w:val="24"/>
          <w:szCs w:val="24"/>
        </w:rPr>
        <w:t>将机头吊装至安装位置，找准位置，确定水平度、垂直度以及中线与机尾对中。</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5.4机尾安装</w:t>
      </w:r>
    </w:p>
    <w:p>
      <w:pPr>
        <w:adjustRightInd w:val="0"/>
        <w:snapToGrid w:val="0"/>
        <w:spacing w:line="440" w:lineRule="exact"/>
        <w:ind w:firstLine="566" w:firstLineChars="236"/>
        <w:rPr>
          <w:rFonts w:ascii="微软雅黑" w:hAnsi="微软雅黑" w:eastAsia="微软雅黑" w:cs="微软雅黑"/>
          <w:sz w:val="24"/>
          <w:szCs w:val="24"/>
        </w:rPr>
      </w:pPr>
      <w:r>
        <w:rPr>
          <w:rFonts w:hint="eastAsia" w:ascii="微软雅黑" w:hAnsi="微软雅黑" w:eastAsia="微软雅黑" w:cs="微软雅黑"/>
          <w:sz w:val="24"/>
          <w:szCs w:val="24"/>
        </w:rPr>
        <w:t>将机头吊装至安装位置，找准位置，确定水平度、垂直度以及中线与机头对中。</w:t>
      </w:r>
    </w:p>
    <w:p>
      <w:pPr>
        <w:adjustRightInd w:val="0"/>
        <w:snapToGrid w:val="0"/>
        <w:spacing w:line="440" w:lineRule="exact"/>
        <w:ind w:left="48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5.5皮带胶接</w:t>
      </w:r>
    </w:p>
    <w:p>
      <w:pPr>
        <w:adjustRightInd w:val="0"/>
        <w:snapToGrid w:val="0"/>
        <w:spacing w:line="440" w:lineRule="exact"/>
        <w:ind w:firstLine="424" w:firstLineChars="177"/>
        <w:rPr>
          <w:rFonts w:ascii="微软雅黑" w:hAnsi="微软雅黑" w:eastAsia="微软雅黑" w:cs="微软雅黑"/>
          <w:sz w:val="24"/>
          <w:szCs w:val="24"/>
        </w:rPr>
      </w:pPr>
      <w:r>
        <w:rPr>
          <w:rFonts w:hint="eastAsia" w:ascii="微软雅黑" w:hAnsi="微软雅黑" w:eastAsia="微软雅黑" w:cs="微软雅黑"/>
          <w:sz w:val="24"/>
          <w:szCs w:val="24"/>
        </w:rPr>
        <w:t>皮带的连接方法为硫化接头，应符合设备技术文件或输送带厂家的规定。</w:t>
      </w:r>
    </w:p>
    <w:p>
      <w:pPr>
        <w:adjustRightInd w:val="0"/>
        <w:snapToGrid w:val="0"/>
        <w:spacing w:line="440" w:lineRule="exact"/>
        <w:ind w:left="48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部分胶带为白色胶带，接头必须保证与原胶带颜色一致。</w:t>
      </w:r>
    </w:p>
    <w:p>
      <w:pPr>
        <w:adjustRightInd w:val="0"/>
        <w:snapToGrid w:val="0"/>
        <w:spacing w:line="440" w:lineRule="exact"/>
        <w:ind w:left="480" w:hanging="480" w:hangingChars="200"/>
        <w:rPr>
          <w:rFonts w:hint="eastAsia" w:ascii="微软雅黑" w:hAnsi="微软雅黑" w:eastAsia="微软雅黑" w:cs="微软雅黑"/>
          <w:sz w:val="24"/>
          <w:szCs w:val="24"/>
        </w:rPr>
      </w:pPr>
    </w:p>
    <w:p>
      <w:pPr>
        <w:autoSpaceDE w:val="0"/>
        <w:autoSpaceDN w:val="0"/>
        <w:adjustRightInd w:val="0"/>
        <w:snapToGrid w:val="0"/>
        <w:spacing w:beforeLines="25" w:afterLines="25" w:line="440" w:lineRule="exact"/>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六、质量标准</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6.1、投标方须确保本工程满足本项目设计施工图纸和国家规范文件要求，具体包括但不限于(标准规范如有更新版本则以最新版本为准，如各标准规范要求及施工图要求的有出入，则以较严格者为准)：</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《机械设备安装工程施工及验收通用规范》（GB50231-98）</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《施工现场临时用电安全技术规范》(JGJ46-2005)</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《施工企业安全生产评价标准》（JGJ/T77-2010）</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《工程测量规范》（GB50026-2016）</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《带式输送机工程技术标准》（</w:t>
      </w:r>
      <w:r>
        <w:rPr>
          <w:rFonts w:ascii="微软雅黑" w:hAnsi="微软雅黑" w:eastAsia="微软雅黑" w:cs="微软雅黑"/>
          <w:sz w:val="24"/>
          <w:szCs w:val="24"/>
        </w:rPr>
        <w:t>GB 50431-2020</w:t>
      </w:r>
      <w:r>
        <w:rPr>
          <w:rFonts w:hint="eastAsia" w:ascii="微软雅黑" w:hAnsi="微软雅黑" w:eastAsia="微软雅黑" w:cs="微软雅黑"/>
          <w:sz w:val="24"/>
          <w:szCs w:val="24"/>
        </w:rPr>
        <w:t>）</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《带式输送机技术条件》（GB10595-2017）</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《带式输送机安全规范》（GB14784-2013）</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《焊接件通用技术要求》（JB/ZQ40003-86）</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《手工电弧焊接接头的基本形式与尺寸》（GB985-88）</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6.2 工程质量</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6.2.1 工程质量应当达到合同约定的质量标准，质量标准的评定以国家或行业的质量检验评定标准为依据。因投标方原因工程质量达不到约定的质量标准，投标方承担违约责任。</w:t>
      </w:r>
    </w:p>
    <w:p>
      <w:pPr>
        <w:autoSpaceDE w:val="0"/>
        <w:autoSpaceDN w:val="0"/>
        <w:adjustRightInd w:val="0"/>
        <w:snapToGrid w:val="0"/>
        <w:spacing w:beforeLines="25" w:afterLines="25" w:line="44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6.2.2 双方对工程质量有争议，由双方同意的工程质量检测机构鉴定，所需费用及因此造成的损失，由责任方承担。双方均有责任，由双方根据其责任分别承担。</w:t>
      </w:r>
    </w:p>
    <w:p>
      <w:pPr>
        <w:adjustRightInd w:val="0"/>
        <w:snapToGrid w:val="0"/>
        <w:spacing w:beforeLines="25" w:afterLines="25"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七、检查和验收</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7.1 投标方应认真按照标准、规范和设计图纸要求以及招标方或监理工程师依据合同发出的指令施工，随时接受招标方或监理工程师的检查检验，为检查检验提供便利条件。</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7.2 工程质量达不到约定标准的部分，投标方或监理工程师一经发现，应要求投标方拆除和重新施工，投标方应按招标方或监理工程师的要求拆除和重新施工，直到符合约定标准。因投标方原因达不到约定标准，由投标方承担拆除和重新施工的费用，工期不予顺延。</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7.3 招标方或监理工程师的检查检验不应影响施工正常进行。如影响施工正常进行，检查检验不合格时，影响正常施工的费用由投标方承担。除此之外影响正常施工的追加合同价款由招标方承担，相应顺延工期。</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7.4 因招标方或监理工程师指令失误或其他非投标方原因发生的追加合同价款，由招标方承担。</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7.5 隐蔽工程和中间验收</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7.5.1 工程具备隐蔽条件或达到专用条款约定的中间验收部位，投标方进行自检，并在隐蔽或中间验收前48小时以书面形式通知招标方或监理工程师验收。通知包括隐蔽和中间验收的内容、验收时间和地点。投标方准备验收记录，验收合格，招标方和监理工程师等相关验收人员在验收记录上签字后，投标方可进行隐蔽和继续施工。验收不合格，投标方在招标方或监理工程师限定的时间内修改后重新验收。</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7.5.2 经招标方和业主验收，工程质量符合标准、规范和设计图纸等要求，验收48小时后，招标方不在验收记录上签字，视为招标方已经认可验收记录，投标方可进行隐蔽或继续施工。</w:t>
      </w:r>
    </w:p>
    <w:p>
      <w:pPr>
        <w:adjustRightInd w:val="0"/>
        <w:snapToGrid w:val="0"/>
        <w:spacing w:beforeLines="25" w:afterLines="25" w:line="44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 验收</w:t>
      </w:r>
      <w:r>
        <w:rPr>
          <w:rFonts w:hint="eastAsia" w:ascii="微软雅黑" w:hAnsi="微软雅黑" w:eastAsia="微软雅黑" w:cs="微软雅黑"/>
          <w:sz w:val="24"/>
          <w:szCs w:val="24"/>
          <w:lang w:eastAsia="zh-CN"/>
        </w:rPr>
        <w:t>技术标准</w:t>
      </w:r>
    </w:p>
    <w:p>
      <w:pPr>
        <w:adjustRightInd w:val="0"/>
        <w:snapToGrid w:val="0"/>
        <w:spacing w:beforeLines="25" w:afterLines="25"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7.6.1</w:t>
      </w:r>
      <w:r>
        <w:rPr>
          <w:rFonts w:hint="eastAsia" w:ascii="微软雅黑" w:hAnsi="微软雅黑" w:eastAsia="微软雅黑" w:cs="微软雅黑"/>
          <w:sz w:val="24"/>
          <w:szCs w:val="24"/>
        </w:rPr>
        <w:t>验收</w:t>
      </w:r>
      <w:r>
        <w:rPr>
          <w:rFonts w:hint="eastAsia" w:ascii="微软雅黑" w:hAnsi="微软雅黑" w:eastAsia="微软雅黑" w:cs="微软雅黑"/>
          <w:sz w:val="24"/>
          <w:szCs w:val="24"/>
          <w:lang w:eastAsia="zh-CN"/>
        </w:rPr>
        <w:t>技术标准按本任务书第五条安装技术要求的条款，现场焊接部分要求焊缝饱满平直</w:t>
      </w:r>
      <w:r>
        <w:rPr>
          <w:rFonts w:hint="eastAsia" w:ascii="微软雅黑" w:hAnsi="微软雅黑" w:eastAsia="微软雅黑" w:cs="微软雅黑"/>
          <w:sz w:val="24"/>
          <w:szCs w:val="24"/>
        </w:rPr>
        <w:t>。</w:t>
      </w:r>
    </w:p>
    <w:p>
      <w:pPr>
        <w:pStyle w:val="7"/>
        <w:ind w:firstLine="480" w:firstLineChars="200"/>
      </w:pPr>
      <w:r>
        <w:rPr>
          <w:rFonts w:hint="eastAsia" w:ascii="微软雅黑" w:hAnsi="微软雅黑" w:eastAsia="微软雅黑" w:cs="微软雅黑"/>
          <w:sz w:val="24"/>
          <w:szCs w:val="24"/>
          <w:lang w:val="en-US" w:eastAsia="zh-CN"/>
        </w:rPr>
        <w:t>7.6.2试运转中无安装原因引起的故障。</w:t>
      </w:r>
    </w:p>
    <w:p>
      <w:pPr>
        <w:adjustRightInd w:val="0"/>
        <w:snapToGrid w:val="0"/>
        <w:spacing w:beforeLines="25" w:afterLines="25"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八、主要施工工艺、技术要求</w:t>
      </w:r>
    </w:p>
    <w:p>
      <w:pPr>
        <w:adjustRightInd w:val="0"/>
        <w:snapToGrid w:val="0"/>
        <w:spacing w:line="440" w:lineRule="exact"/>
        <w:ind w:firstLine="560"/>
        <w:rPr>
          <w:rFonts w:ascii="微软雅黑" w:hAnsi="微软雅黑" w:eastAsia="微软雅黑" w:cs="微软雅黑"/>
          <w:sz w:val="24"/>
          <w:szCs w:val="24"/>
        </w:rPr>
      </w:pPr>
      <w:bookmarkStart w:id="13" w:name="_Toc453864851"/>
      <w:bookmarkStart w:id="14" w:name="_Toc632"/>
      <w:r>
        <w:rPr>
          <w:rFonts w:hint="eastAsia" w:ascii="微软雅黑" w:hAnsi="微软雅黑" w:eastAsia="微软雅黑" w:cs="微软雅黑"/>
          <w:sz w:val="24"/>
          <w:szCs w:val="24"/>
        </w:rPr>
        <w:t>8.1 材料进场</w:t>
      </w:r>
    </w:p>
    <w:p>
      <w:pPr>
        <w:adjustRightInd w:val="0"/>
        <w:snapToGrid w:val="0"/>
        <w:spacing w:line="440" w:lineRule="exact"/>
        <w:ind w:left="44" w:firstLine="560"/>
        <w:rPr>
          <w:rFonts w:ascii="微软雅黑" w:hAnsi="微软雅黑" w:eastAsia="微软雅黑" w:cs="微软雅黑"/>
          <w:sz w:val="24"/>
          <w:szCs w:val="24"/>
        </w:rPr>
      </w:pPr>
      <w:r>
        <w:rPr>
          <w:rFonts w:hint="eastAsia" w:ascii="微软雅黑" w:hAnsi="微软雅黑" w:eastAsia="微软雅黑" w:cs="微软雅黑"/>
          <w:sz w:val="24"/>
          <w:szCs w:val="24"/>
        </w:rPr>
        <w:t>设备发货到现场后，投标方应按2.1.1项目承包范围列表内容将各设备材料搬运至相应安装位置。</w:t>
      </w:r>
    </w:p>
    <w:p>
      <w:pPr>
        <w:adjustRightInd w:val="0"/>
        <w:snapToGrid w:val="0"/>
        <w:spacing w:line="440" w:lineRule="exact"/>
        <w:ind w:left="44" w:firstLine="560"/>
        <w:rPr>
          <w:rFonts w:ascii="微软雅黑" w:hAnsi="微软雅黑" w:eastAsia="微软雅黑" w:cs="微软雅黑"/>
          <w:sz w:val="24"/>
          <w:szCs w:val="24"/>
        </w:rPr>
      </w:pPr>
      <w:r>
        <w:rPr>
          <w:rFonts w:hint="eastAsia" w:ascii="微软雅黑" w:hAnsi="微软雅黑" w:eastAsia="微软雅黑" w:cs="微软雅黑"/>
          <w:sz w:val="24"/>
          <w:szCs w:val="24"/>
        </w:rPr>
        <w:t>8.2 材料吊运</w:t>
      </w:r>
    </w:p>
    <w:p>
      <w:pPr>
        <w:adjustRightInd w:val="0"/>
        <w:snapToGrid w:val="0"/>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投标方自行负责各设备材料的安全措施。在吊运设备材料时自行准备相应的工装与吊具，保证设备不变形及吊运安全。</w:t>
      </w:r>
    </w:p>
    <w:p>
      <w:pPr>
        <w:adjustRightInd w:val="0"/>
        <w:snapToGrid w:val="0"/>
        <w:spacing w:line="440" w:lineRule="exact"/>
        <w:ind w:left="44" w:firstLine="560"/>
        <w:rPr>
          <w:rFonts w:ascii="微软雅黑" w:hAnsi="微软雅黑" w:eastAsia="微软雅黑" w:cs="微软雅黑"/>
          <w:sz w:val="24"/>
          <w:szCs w:val="24"/>
        </w:rPr>
      </w:pPr>
      <w:r>
        <w:rPr>
          <w:rFonts w:hint="eastAsia" w:ascii="微软雅黑" w:hAnsi="微软雅黑" w:eastAsia="微软雅黑" w:cs="微软雅黑"/>
          <w:sz w:val="24"/>
          <w:szCs w:val="24"/>
        </w:rPr>
        <w:t>8.3技术要求</w:t>
      </w:r>
    </w:p>
    <w:bookmarkEnd w:id="13"/>
    <w:bookmarkEnd w:id="14"/>
    <w:p>
      <w:pPr>
        <w:adjustRightInd w:val="0"/>
        <w:snapToGrid w:val="0"/>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本项目的技术要求已在对应图纸中有详细描述，投标方须按相应的技术要求进行施工。</w:t>
      </w:r>
    </w:p>
    <w:p>
      <w:pPr>
        <w:adjustRightInd w:val="0"/>
        <w:snapToGrid w:val="0"/>
        <w:spacing w:beforeLines="25" w:afterLines="25"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九、质量保修</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9.1 质保期：按《建设工程质量管理条例》规定执行。</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9.2 投标方应按法律、行政法规或国家关于工程质量保修的有关规定，对交付招标方使用的工程在质量保修期内承担质量保修责任。</w:t>
      </w:r>
    </w:p>
    <w:p>
      <w:pPr>
        <w:adjustRightInd w:val="0"/>
        <w:snapToGrid w:val="0"/>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十、施工服务具体要求</w:t>
      </w:r>
    </w:p>
    <w:p>
      <w:pPr>
        <w:adjustRightInd w:val="0"/>
        <w:snapToGrid w:val="0"/>
        <w:spacing w:beforeLines="25" w:afterLines="25" w:line="440" w:lineRule="exact"/>
        <w:ind w:firstLine="484" w:firstLineChars="202"/>
        <w:rPr>
          <w:rFonts w:ascii="微软雅黑" w:hAnsi="微软雅黑" w:eastAsia="微软雅黑" w:cs="微软雅黑"/>
          <w:sz w:val="24"/>
          <w:szCs w:val="24"/>
        </w:rPr>
      </w:pPr>
      <w:r>
        <w:rPr>
          <w:rFonts w:hint="eastAsia" w:ascii="微软雅黑" w:hAnsi="微软雅黑" w:eastAsia="微软雅黑" w:cs="微软雅黑"/>
          <w:sz w:val="24"/>
          <w:szCs w:val="24"/>
        </w:rPr>
        <w:t>10.1投标方需根据工程进度需要，按投标承诺派驻恰当的人员和合适的人员数量，满足现场施工服务的需求；采取措施保证到位率。</w:t>
      </w:r>
    </w:p>
    <w:p>
      <w:pPr>
        <w:adjustRightInd w:val="0"/>
        <w:snapToGrid w:val="0"/>
        <w:spacing w:beforeLines="25" w:afterLines="25" w:line="440" w:lineRule="exact"/>
        <w:ind w:firstLine="484" w:firstLineChars="202"/>
        <w:rPr>
          <w:rFonts w:ascii="微软雅黑" w:hAnsi="微软雅黑" w:eastAsia="微软雅黑" w:cs="微软雅黑"/>
          <w:sz w:val="24"/>
          <w:szCs w:val="24"/>
        </w:rPr>
      </w:pPr>
      <w:r>
        <w:rPr>
          <w:rFonts w:hint="eastAsia" w:ascii="微软雅黑" w:hAnsi="微软雅黑" w:eastAsia="微软雅黑" w:cs="微软雅黑"/>
          <w:sz w:val="24"/>
          <w:szCs w:val="24"/>
        </w:rPr>
        <w:t>10.2为保证本工程的延续性，开工报告批准后至竣工决算阶段，严禁变更项目经理。如有变更施工人员，须经招标方同意且更换施工人员岗位证书和职称证书均不得低于被更换施工人员。</w:t>
      </w:r>
    </w:p>
    <w:p>
      <w:pPr>
        <w:adjustRightInd w:val="0"/>
        <w:snapToGrid w:val="0"/>
        <w:spacing w:beforeLines="25" w:afterLines="25" w:line="440" w:lineRule="exact"/>
        <w:ind w:firstLine="484" w:firstLineChars="202"/>
        <w:rPr>
          <w:rFonts w:ascii="微软雅黑" w:hAnsi="微软雅黑" w:eastAsia="微软雅黑" w:cs="微软雅黑"/>
          <w:sz w:val="24"/>
          <w:szCs w:val="24"/>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在施工过程中对工程量有变化必须及时签证，涉及工程量和变更价款的内容必须真实、准确。</w:t>
      </w:r>
    </w:p>
    <w:p>
      <w:pPr>
        <w:adjustRightInd w:val="0"/>
        <w:snapToGrid w:val="0"/>
        <w:spacing w:beforeLines="25" w:afterLines="25" w:line="440" w:lineRule="exact"/>
        <w:ind w:firstLine="484" w:firstLineChars="20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投标方必须承担因己方原因导致工期延误而造成的费用增加的风险，招标方不接受因工期延误原因造成的费用增加。投标方履责期间，应对施工现场实行标准化管理，严防重大质量、安全事故出现；若出现重大安全、质量事故，招标方将约谈法人代表</w:t>
      </w:r>
      <w:r>
        <w:rPr>
          <w:rFonts w:hint="eastAsia" w:ascii="微软雅黑" w:hAnsi="微软雅黑" w:eastAsia="微软雅黑" w:cs="微软雅黑"/>
          <w:sz w:val="24"/>
          <w:szCs w:val="24"/>
          <w:lang w:eastAsia="zh-CN"/>
        </w:rPr>
        <w:t>。</w:t>
      </w:r>
    </w:p>
    <w:p>
      <w:pPr>
        <w:adjustRightInd w:val="0"/>
        <w:snapToGrid w:val="0"/>
        <w:spacing w:beforeLines="25" w:afterLines="25"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十一、安全施工要求</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11.1 投标方所有人员必须具备相应的资质，如焊工证、高空作业证等。</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11.2 投标方必须设有现场安全员，对施工现场进行安全管理。</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11.3投标方应遵守工程建设安全生产有关管理规定，严格按安全标准组织施工，并随时接受招标方及业主安全检查人员依法实施的监督检查，采取必要的安全防护措施，消除事故隐患。由于投标方安全措施不力造成事故的责任和因此发生的费用，由投标方全部承担。</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11.4招标方有义务对投标方在施工场地的工作人员进行安全教育。招标方不得要求投标方违反安全管理的规定进行施工。因招标方原因导致的安全事故，由招标方承担相应责任及发生的费用。</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11.5 投标方应严格遵守工程建设安全文明施工的有关规定。认真落实各项安全保护措施，并随时接受招标方或监理工程师及有关部门的监督检查。</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11.6 投标方应对进入施工现场的施工人员进行安全文明施工教育，配备必要的劳动保护用具，保证工程的施工安全和人身安全。</w:t>
      </w:r>
    </w:p>
    <w:p>
      <w:pPr>
        <w:adjustRightInd w:val="0"/>
        <w:snapToGrid w:val="0"/>
        <w:spacing w:beforeLines="25" w:afterLines="25"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11.7 如由于投标方原因和与投标方有关的第三方原因造成事故的责任和由此发生的费用，由投标方承担。</w:t>
      </w:r>
    </w:p>
    <w:p>
      <w:pPr>
        <w:adjustRightInd w:val="0"/>
        <w:snapToGrid w:val="0"/>
        <w:spacing w:beforeLines="25" w:afterLines="25" w:line="440" w:lineRule="exact"/>
        <w:rPr>
          <w:rFonts w:ascii="微软雅黑" w:hAnsi="微软雅黑" w:eastAsia="微软雅黑" w:cs="微软雅黑"/>
          <w:sz w:val="24"/>
          <w:szCs w:val="24"/>
        </w:rPr>
      </w:pPr>
      <w:r>
        <w:rPr>
          <w:rFonts w:hint="eastAsia" w:ascii="微软雅黑" w:hAnsi="微软雅黑" w:eastAsia="微软雅黑" w:cs="微软雅黑"/>
          <w:b/>
          <w:sz w:val="24"/>
          <w:szCs w:val="24"/>
        </w:rPr>
        <w:t>十二、工期</w:t>
      </w:r>
    </w:p>
    <w:p>
      <w:pPr>
        <w:adjustRightInd w:val="0"/>
        <w:snapToGrid w:val="0"/>
        <w:spacing w:beforeLines="50" w:afterLines="50" w:line="440" w:lineRule="exact"/>
        <w:ind w:firstLine="480" w:firstLineChars="200"/>
        <w:rPr>
          <w:rFonts w:hint="eastAsia"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eastAsia="zh-CN"/>
        </w:rPr>
        <w:t>安装时间</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合同签订且设备运到工地后</w:t>
      </w:r>
      <w:r>
        <w:rPr>
          <w:rFonts w:hint="eastAsia" w:ascii="微软雅黑" w:hAnsi="微软雅黑" w:eastAsia="微软雅黑" w:cs="微软雅黑"/>
          <w:sz w:val="24"/>
          <w:szCs w:val="24"/>
          <w:lang w:val="en-US" w:eastAsia="zh-CN"/>
        </w:rPr>
        <w:t>45</w:t>
      </w:r>
      <w:r>
        <w:rPr>
          <w:rFonts w:hint="eastAsia" w:ascii="微软雅黑" w:hAnsi="微软雅黑" w:eastAsia="微软雅黑" w:cs="微软雅黑"/>
          <w:sz w:val="24"/>
          <w:szCs w:val="24"/>
        </w:rPr>
        <w:t>天</w:t>
      </w:r>
      <w:r>
        <w:rPr>
          <w:rFonts w:hint="eastAsia" w:ascii="微软雅黑" w:hAnsi="微软雅黑" w:eastAsia="微软雅黑" w:cs="微软雅黑"/>
          <w:sz w:val="24"/>
          <w:szCs w:val="24"/>
          <w:lang w:eastAsia="zh-CN"/>
        </w:rPr>
        <w:t>内。</w:t>
      </w:r>
    </w:p>
    <w:p>
      <w:pPr>
        <w:adjustRightInd w:val="0"/>
        <w:snapToGrid w:val="0"/>
        <w:spacing w:beforeLines="25" w:afterLines="25" w:line="440" w:lineRule="exact"/>
        <w:rPr>
          <w:rFonts w:ascii="微软雅黑" w:hAnsi="微软雅黑" w:eastAsia="微软雅黑" w:cs="微软雅黑"/>
          <w:b/>
          <w:sz w:val="24"/>
          <w:szCs w:val="24"/>
        </w:rPr>
      </w:pPr>
      <w:bookmarkStart w:id="15" w:name="_Toc31128"/>
      <w:r>
        <w:rPr>
          <w:rFonts w:hint="eastAsia" w:ascii="微软雅黑" w:hAnsi="微软雅黑" w:eastAsia="微软雅黑" w:cs="微软雅黑"/>
          <w:b/>
          <w:sz w:val="24"/>
          <w:szCs w:val="24"/>
        </w:rPr>
        <w:t>十三、其它</w:t>
      </w:r>
      <w:bookmarkEnd w:id="15"/>
    </w:p>
    <w:p>
      <w:pPr>
        <w:autoSpaceDE w:val="0"/>
        <w:autoSpaceDN w:val="0"/>
        <w:adjustRightInd w:val="0"/>
        <w:snapToGrid w:val="0"/>
        <w:spacing w:beforeLines="50" w:afterLines="50"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13.1 以上条款，双方应严格执行，未尽事宜，双方本着友好协商原则随时协调解决，作为协议的补充条款。</w:t>
      </w:r>
    </w:p>
    <w:p>
      <w:pPr>
        <w:autoSpaceDE w:val="0"/>
        <w:autoSpaceDN w:val="0"/>
        <w:adjustRightInd w:val="0"/>
        <w:snapToGrid w:val="0"/>
        <w:spacing w:beforeLines="50" w:afterLines="50"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13.2 本技术书将作为合同的一个附件，并与合同文件具有相同的法律效力。</w:t>
      </w:r>
      <w:bookmarkEnd w:id="0"/>
      <w:bookmarkEnd w:id="1"/>
      <w:bookmarkEnd w:id="2"/>
      <w:bookmarkEnd w:id="3"/>
      <w:bookmarkEnd w:id="4"/>
      <w:bookmarkEnd w:id="5"/>
      <w:bookmarkEnd w:id="6"/>
      <w:bookmarkEnd w:id="7"/>
    </w:p>
    <w:sectPr>
      <w:headerReference r:id="rId4" w:type="first"/>
      <w:headerReference r:id="rId3" w:type="default"/>
      <w:footerReference r:id="rId5"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10</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10</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4C49"/>
    <w:multiLevelType w:val="multilevel"/>
    <w:tmpl w:val="1E4B4C4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FC35DD"/>
    <w:multiLevelType w:val="multilevel"/>
    <w:tmpl w:val="7CFC35DD"/>
    <w:lvl w:ilvl="0" w:tentative="0">
      <w:start w:val="1"/>
      <w:numFmt w:val="decimal"/>
      <w:pStyle w:val="3"/>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YTM1ZDFlZWM0NDJjYzU3MzQxMTc5N2M3NDk1ZGEifQ=="/>
  </w:docVars>
  <w:rsids>
    <w:rsidRoot w:val="0081435F"/>
    <w:rsid w:val="000025AB"/>
    <w:rsid w:val="000072F9"/>
    <w:rsid w:val="00011CA2"/>
    <w:rsid w:val="00012AB3"/>
    <w:rsid w:val="000162AA"/>
    <w:rsid w:val="00031713"/>
    <w:rsid w:val="00034943"/>
    <w:rsid w:val="000372B3"/>
    <w:rsid w:val="000407C9"/>
    <w:rsid w:val="0004604B"/>
    <w:rsid w:val="000504E4"/>
    <w:rsid w:val="00072ED8"/>
    <w:rsid w:val="000845FD"/>
    <w:rsid w:val="000A0D8F"/>
    <w:rsid w:val="000A72B9"/>
    <w:rsid w:val="000B1D88"/>
    <w:rsid w:val="000B27D1"/>
    <w:rsid w:val="000E339F"/>
    <w:rsid w:val="00105A1B"/>
    <w:rsid w:val="00110EB4"/>
    <w:rsid w:val="00122F0F"/>
    <w:rsid w:val="0012644D"/>
    <w:rsid w:val="00130BAC"/>
    <w:rsid w:val="0014233B"/>
    <w:rsid w:val="00142558"/>
    <w:rsid w:val="00143267"/>
    <w:rsid w:val="001747DF"/>
    <w:rsid w:val="0018008F"/>
    <w:rsid w:val="00183CB0"/>
    <w:rsid w:val="00185C3E"/>
    <w:rsid w:val="001A03F3"/>
    <w:rsid w:val="001A6419"/>
    <w:rsid w:val="001C6D3F"/>
    <w:rsid w:val="001C6FDE"/>
    <w:rsid w:val="001C7871"/>
    <w:rsid w:val="001D04E3"/>
    <w:rsid w:val="001D755D"/>
    <w:rsid w:val="001E2769"/>
    <w:rsid w:val="002230EE"/>
    <w:rsid w:val="002243A1"/>
    <w:rsid w:val="002256B8"/>
    <w:rsid w:val="002258CB"/>
    <w:rsid w:val="002351A9"/>
    <w:rsid w:val="002533CF"/>
    <w:rsid w:val="00272920"/>
    <w:rsid w:val="00286DD5"/>
    <w:rsid w:val="002B0238"/>
    <w:rsid w:val="002B6B2B"/>
    <w:rsid w:val="002B6EC3"/>
    <w:rsid w:val="002C391C"/>
    <w:rsid w:val="002C39E8"/>
    <w:rsid w:val="002D603F"/>
    <w:rsid w:val="002E4B9B"/>
    <w:rsid w:val="002F2777"/>
    <w:rsid w:val="00301A53"/>
    <w:rsid w:val="00314A77"/>
    <w:rsid w:val="00315FAA"/>
    <w:rsid w:val="003349DF"/>
    <w:rsid w:val="00345DD3"/>
    <w:rsid w:val="003500C6"/>
    <w:rsid w:val="00351492"/>
    <w:rsid w:val="00351BD7"/>
    <w:rsid w:val="00390E42"/>
    <w:rsid w:val="00394235"/>
    <w:rsid w:val="003967CD"/>
    <w:rsid w:val="003A3CF9"/>
    <w:rsid w:val="003B2C7F"/>
    <w:rsid w:val="003B371D"/>
    <w:rsid w:val="003D66EB"/>
    <w:rsid w:val="003F5230"/>
    <w:rsid w:val="00410A96"/>
    <w:rsid w:val="00411AEE"/>
    <w:rsid w:val="004227EE"/>
    <w:rsid w:val="0042407C"/>
    <w:rsid w:val="00436BFE"/>
    <w:rsid w:val="004406F8"/>
    <w:rsid w:val="00443795"/>
    <w:rsid w:val="00454CB9"/>
    <w:rsid w:val="004939A8"/>
    <w:rsid w:val="00494E9F"/>
    <w:rsid w:val="004A2DF6"/>
    <w:rsid w:val="004A3CF0"/>
    <w:rsid w:val="004D12B3"/>
    <w:rsid w:val="004D1E96"/>
    <w:rsid w:val="004E0613"/>
    <w:rsid w:val="004F117E"/>
    <w:rsid w:val="004F7518"/>
    <w:rsid w:val="005322F8"/>
    <w:rsid w:val="00535C09"/>
    <w:rsid w:val="00570C95"/>
    <w:rsid w:val="005738C7"/>
    <w:rsid w:val="005756DD"/>
    <w:rsid w:val="00576320"/>
    <w:rsid w:val="005865AE"/>
    <w:rsid w:val="005A74DB"/>
    <w:rsid w:val="005C476A"/>
    <w:rsid w:val="005C7D76"/>
    <w:rsid w:val="005E7358"/>
    <w:rsid w:val="005F7A72"/>
    <w:rsid w:val="0062262F"/>
    <w:rsid w:val="006345CE"/>
    <w:rsid w:val="0067279B"/>
    <w:rsid w:val="00683B8F"/>
    <w:rsid w:val="00691AA4"/>
    <w:rsid w:val="006931EF"/>
    <w:rsid w:val="006B08D1"/>
    <w:rsid w:val="006B123E"/>
    <w:rsid w:val="006B4B8E"/>
    <w:rsid w:val="006C0E00"/>
    <w:rsid w:val="006D1530"/>
    <w:rsid w:val="006D4E33"/>
    <w:rsid w:val="00700357"/>
    <w:rsid w:val="00701849"/>
    <w:rsid w:val="007040C6"/>
    <w:rsid w:val="007336B6"/>
    <w:rsid w:val="007435B7"/>
    <w:rsid w:val="007448E0"/>
    <w:rsid w:val="007531C7"/>
    <w:rsid w:val="007700A3"/>
    <w:rsid w:val="007B6E22"/>
    <w:rsid w:val="007C781E"/>
    <w:rsid w:val="007E0E5E"/>
    <w:rsid w:val="007E74D4"/>
    <w:rsid w:val="007F214D"/>
    <w:rsid w:val="0080104A"/>
    <w:rsid w:val="00803D8E"/>
    <w:rsid w:val="0081435F"/>
    <w:rsid w:val="0082752F"/>
    <w:rsid w:val="00833A4C"/>
    <w:rsid w:val="008353BB"/>
    <w:rsid w:val="00842D7C"/>
    <w:rsid w:val="008477E5"/>
    <w:rsid w:val="0085061F"/>
    <w:rsid w:val="0085585B"/>
    <w:rsid w:val="008561F6"/>
    <w:rsid w:val="00866B27"/>
    <w:rsid w:val="00885A53"/>
    <w:rsid w:val="0089741E"/>
    <w:rsid w:val="00903706"/>
    <w:rsid w:val="0090491D"/>
    <w:rsid w:val="00914A42"/>
    <w:rsid w:val="0092794E"/>
    <w:rsid w:val="00943A65"/>
    <w:rsid w:val="0094774D"/>
    <w:rsid w:val="00950E8A"/>
    <w:rsid w:val="00953861"/>
    <w:rsid w:val="00956F04"/>
    <w:rsid w:val="00967690"/>
    <w:rsid w:val="009753CC"/>
    <w:rsid w:val="0099140E"/>
    <w:rsid w:val="009933A5"/>
    <w:rsid w:val="00996998"/>
    <w:rsid w:val="009A36E6"/>
    <w:rsid w:val="009B19F3"/>
    <w:rsid w:val="009C0363"/>
    <w:rsid w:val="009F2373"/>
    <w:rsid w:val="009F29DC"/>
    <w:rsid w:val="00A16BD6"/>
    <w:rsid w:val="00A311A5"/>
    <w:rsid w:val="00A33F69"/>
    <w:rsid w:val="00A438A8"/>
    <w:rsid w:val="00A5093F"/>
    <w:rsid w:val="00A52EA0"/>
    <w:rsid w:val="00A606EF"/>
    <w:rsid w:val="00A62C34"/>
    <w:rsid w:val="00A76060"/>
    <w:rsid w:val="00AC0012"/>
    <w:rsid w:val="00AC3F62"/>
    <w:rsid w:val="00AD5300"/>
    <w:rsid w:val="00AE0E98"/>
    <w:rsid w:val="00AF31F9"/>
    <w:rsid w:val="00B02A40"/>
    <w:rsid w:val="00B15E7E"/>
    <w:rsid w:val="00B20AD0"/>
    <w:rsid w:val="00B277E8"/>
    <w:rsid w:val="00B31B3C"/>
    <w:rsid w:val="00B36560"/>
    <w:rsid w:val="00B37211"/>
    <w:rsid w:val="00B62C85"/>
    <w:rsid w:val="00B67A2C"/>
    <w:rsid w:val="00B73712"/>
    <w:rsid w:val="00B77CCE"/>
    <w:rsid w:val="00B83D20"/>
    <w:rsid w:val="00B9491B"/>
    <w:rsid w:val="00BC3638"/>
    <w:rsid w:val="00BF2848"/>
    <w:rsid w:val="00BF69E6"/>
    <w:rsid w:val="00BF7D4F"/>
    <w:rsid w:val="00C3596E"/>
    <w:rsid w:val="00C441FA"/>
    <w:rsid w:val="00C50549"/>
    <w:rsid w:val="00C76156"/>
    <w:rsid w:val="00CA0CCB"/>
    <w:rsid w:val="00CC2AAC"/>
    <w:rsid w:val="00CD2D17"/>
    <w:rsid w:val="00CE21F1"/>
    <w:rsid w:val="00D16AED"/>
    <w:rsid w:val="00D41EEE"/>
    <w:rsid w:val="00D43051"/>
    <w:rsid w:val="00D501EC"/>
    <w:rsid w:val="00D53D52"/>
    <w:rsid w:val="00D612D9"/>
    <w:rsid w:val="00D80C6B"/>
    <w:rsid w:val="00D82020"/>
    <w:rsid w:val="00D82F25"/>
    <w:rsid w:val="00DC4758"/>
    <w:rsid w:val="00DE12FD"/>
    <w:rsid w:val="00E60897"/>
    <w:rsid w:val="00E61AE8"/>
    <w:rsid w:val="00E743D0"/>
    <w:rsid w:val="00E7605D"/>
    <w:rsid w:val="00EC5F8A"/>
    <w:rsid w:val="00ED1EC5"/>
    <w:rsid w:val="00ED204F"/>
    <w:rsid w:val="00ED486B"/>
    <w:rsid w:val="00ED6350"/>
    <w:rsid w:val="00F02D40"/>
    <w:rsid w:val="00F50500"/>
    <w:rsid w:val="00F531B5"/>
    <w:rsid w:val="00F55C04"/>
    <w:rsid w:val="00F562AF"/>
    <w:rsid w:val="00F66146"/>
    <w:rsid w:val="00F702C0"/>
    <w:rsid w:val="00F70D1C"/>
    <w:rsid w:val="00F81FD9"/>
    <w:rsid w:val="00F87C96"/>
    <w:rsid w:val="00F9147D"/>
    <w:rsid w:val="00FB2A56"/>
    <w:rsid w:val="00FC0C0E"/>
    <w:rsid w:val="017947B3"/>
    <w:rsid w:val="01B11C71"/>
    <w:rsid w:val="01B702E1"/>
    <w:rsid w:val="01E22E0D"/>
    <w:rsid w:val="023C2BCD"/>
    <w:rsid w:val="029F78E6"/>
    <w:rsid w:val="030C5E82"/>
    <w:rsid w:val="031417F8"/>
    <w:rsid w:val="035E2E48"/>
    <w:rsid w:val="03AF7A45"/>
    <w:rsid w:val="03DA7C5D"/>
    <w:rsid w:val="0403369D"/>
    <w:rsid w:val="04294ADC"/>
    <w:rsid w:val="05205258"/>
    <w:rsid w:val="061E274B"/>
    <w:rsid w:val="06410420"/>
    <w:rsid w:val="06D61C4A"/>
    <w:rsid w:val="06F42610"/>
    <w:rsid w:val="07540716"/>
    <w:rsid w:val="077E4EA1"/>
    <w:rsid w:val="08144836"/>
    <w:rsid w:val="086860A2"/>
    <w:rsid w:val="088D1676"/>
    <w:rsid w:val="08FB50BE"/>
    <w:rsid w:val="09173EE8"/>
    <w:rsid w:val="09365289"/>
    <w:rsid w:val="093D1A3C"/>
    <w:rsid w:val="09CD0A4B"/>
    <w:rsid w:val="09DF35AF"/>
    <w:rsid w:val="0AA4693F"/>
    <w:rsid w:val="0ABC20A6"/>
    <w:rsid w:val="0B046E6F"/>
    <w:rsid w:val="0B3635F3"/>
    <w:rsid w:val="0B4B0D95"/>
    <w:rsid w:val="0B5156ED"/>
    <w:rsid w:val="0B827A5F"/>
    <w:rsid w:val="0BE32B47"/>
    <w:rsid w:val="0C0C4F02"/>
    <w:rsid w:val="0C2E4C3D"/>
    <w:rsid w:val="0CEA3C1C"/>
    <w:rsid w:val="0D1D4148"/>
    <w:rsid w:val="0D3D76D9"/>
    <w:rsid w:val="0E4511F1"/>
    <w:rsid w:val="0EB43F8B"/>
    <w:rsid w:val="0F435631"/>
    <w:rsid w:val="0F62394E"/>
    <w:rsid w:val="10494F08"/>
    <w:rsid w:val="11AC524E"/>
    <w:rsid w:val="11DB08D4"/>
    <w:rsid w:val="143D5119"/>
    <w:rsid w:val="1441519F"/>
    <w:rsid w:val="14657BBB"/>
    <w:rsid w:val="14DE3D83"/>
    <w:rsid w:val="15280B2E"/>
    <w:rsid w:val="155C78F3"/>
    <w:rsid w:val="1567497B"/>
    <w:rsid w:val="15B041DD"/>
    <w:rsid w:val="16074EB2"/>
    <w:rsid w:val="16164170"/>
    <w:rsid w:val="16EA3811"/>
    <w:rsid w:val="17D77488"/>
    <w:rsid w:val="196B083C"/>
    <w:rsid w:val="19A611A3"/>
    <w:rsid w:val="1A587617"/>
    <w:rsid w:val="1A625F8F"/>
    <w:rsid w:val="1A734182"/>
    <w:rsid w:val="1A805DBA"/>
    <w:rsid w:val="1AC11021"/>
    <w:rsid w:val="1B0928FE"/>
    <w:rsid w:val="1B5B3EA4"/>
    <w:rsid w:val="1B625B4B"/>
    <w:rsid w:val="1BD17BBF"/>
    <w:rsid w:val="1BD51A26"/>
    <w:rsid w:val="1BEF6AA9"/>
    <w:rsid w:val="1C222277"/>
    <w:rsid w:val="1C443C84"/>
    <w:rsid w:val="1C6E4F2B"/>
    <w:rsid w:val="1C897591"/>
    <w:rsid w:val="1CB0469F"/>
    <w:rsid w:val="1CBC207E"/>
    <w:rsid w:val="1D566FB2"/>
    <w:rsid w:val="1D5D12C6"/>
    <w:rsid w:val="1E1B0267"/>
    <w:rsid w:val="1EB86A4A"/>
    <w:rsid w:val="1EBE00F9"/>
    <w:rsid w:val="1F3B3226"/>
    <w:rsid w:val="1F4A7125"/>
    <w:rsid w:val="1F7F6AC2"/>
    <w:rsid w:val="1F8539B3"/>
    <w:rsid w:val="1FCC3BE6"/>
    <w:rsid w:val="201E30EA"/>
    <w:rsid w:val="204B32FD"/>
    <w:rsid w:val="206C4E32"/>
    <w:rsid w:val="20CA452D"/>
    <w:rsid w:val="20DB2E51"/>
    <w:rsid w:val="224560E3"/>
    <w:rsid w:val="22497366"/>
    <w:rsid w:val="22E3725B"/>
    <w:rsid w:val="23085F64"/>
    <w:rsid w:val="234D2ED7"/>
    <w:rsid w:val="238F6FCB"/>
    <w:rsid w:val="23963CC4"/>
    <w:rsid w:val="24B32E13"/>
    <w:rsid w:val="24CD3132"/>
    <w:rsid w:val="25602F8F"/>
    <w:rsid w:val="25E9175A"/>
    <w:rsid w:val="264D65A6"/>
    <w:rsid w:val="266E451A"/>
    <w:rsid w:val="268F62A3"/>
    <w:rsid w:val="26C9220E"/>
    <w:rsid w:val="26D03FC2"/>
    <w:rsid w:val="273C21F2"/>
    <w:rsid w:val="274040A7"/>
    <w:rsid w:val="275757A1"/>
    <w:rsid w:val="277D6C4D"/>
    <w:rsid w:val="27D74416"/>
    <w:rsid w:val="27DF7347"/>
    <w:rsid w:val="27E24C55"/>
    <w:rsid w:val="288566F5"/>
    <w:rsid w:val="288A2D0D"/>
    <w:rsid w:val="292D0715"/>
    <w:rsid w:val="2937592C"/>
    <w:rsid w:val="29FE6306"/>
    <w:rsid w:val="2AD21587"/>
    <w:rsid w:val="2AD877EA"/>
    <w:rsid w:val="2BAC14D1"/>
    <w:rsid w:val="2C105473"/>
    <w:rsid w:val="2C230B7E"/>
    <w:rsid w:val="2C506182"/>
    <w:rsid w:val="2D2F6A9C"/>
    <w:rsid w:val="2D325DF7"/>
    <w:rsid w:val="2D911F71"/>
    <w:rsid w:val="2DA2666D"/>
    <w:rsid w:val="2E4A67BA"/>
    <w:rsid w:val="2EA04788"/>
    <w:rsid w:val="2F5C10B5"/>
    <w:rsid w:val="2F6304B7"/>
    <w:rsid w:val="2FF2729D"/>
    <w:rsid w:val="302F4003"/>
    <w:rsid w:val="308E5E1D"/>
    <w:rsid w:val="309B2393"/>
    <w:rsid w:val="30E5322C"/>
    <w:rsid w:val="315D7333"/>
    <w:rsid w:val="31920AFF"/>
    <w:rsid w:val="31A23FD6"/>
    <w:rsid w:val="31CA3CD1"/>
    <w:rsid w:val="32612182"/>
    <w:rsid w:val="326E358B"/>
    <w:rsid w:val="32955549"/>
    <w:rsid w:val="32D53C1B"/>
    <w:rsid w:val="32D91326"/>
    <w:rsid w:val="32FD4CF3"/>
    <w:rsid w:val="338972C7"/>
    <w:rsid w:val="33996C8C"/>
    <w:rsid w:val="33E27C88"/>
    <w:rsid w:val="34182B15"/>
    <w:rsid w:val="34783498"/>
    <w:rsid w:val="34C62773"/>
    <w:rsid w:val="34EF5355"/>
    <w:rsid w:val="35714552"/>
    <w:rsid w:val="357C3A57"/>
    <w:rsid w:val="36025427"/>
    <w:rsid w:val="36497005"/>
    <w:rsid w:val="36A24D76"/>
    <w:rsid w:val="37681F67"/>
    <w:rsid w:val="37CC2B8F"/>
    <w:rsid w:val="37ED57B8"/>
    <w:rsid w:val="37F559C1"/>
    <w:rsid w:val="38A57770"/>
    <w:rsid w:val="38B031C8"/>
    <w:rsid w:val="3AAE4D91"/>
    <w:rsid w:val="3ABA474B"/>
    <w:rsid w:val="3AF76B8C"/>
    <w:rsid w:val="3B130C2E"/>
    <w:rsid w:val="3C232BE5"/>
    <w:rsid w:val="3C5B6D78"/>
    <w:rsid w:val="3C763382"/>
    <w:rsid w:val="3CF85AD8"/>
    <w:rsid w:val="3D66412B"/>
    <w:rsid w:val="3DBA691F"/>
    <w:rsid w:val="3DE67224"/>
    <w:rsid w:val="3E2D7C57"/>
    <w:rsid w:val="3E327FDA"/>
    <w:rsid w:val="3EFA6787"/>
    <w:rsid w:val="3F1E15C2"/>
    <w:rsid w:val="3F695550"/>
    <w:rsid w:val="3F9A771C"/>
    <w:rsid w:val="3FC44F4A"/>
    <w:rsid w:val="40632F8C"/>
    <w:rsid w:val="40915A67"/>
    <w:rsid w:val="40B47C35"/>
    <w:rsid w:val="41D4673F"/>
    <w:rsid w:val="41E82223"/>
    <w:rsid w:val="41ED6048"/>
    <w:rsid w:val="42147C77"/>
    <w:rsid w:val="43263BDA"/>
    <w:rsid w:val="432B5DD6"/>
    <w:rsid w:val="4372676C"/>
    <w:rsid w:val="445757E4"/>
    <w:rsid w:val="44827761"/>
    <w:rsid w:val="44913B03"/>
    <w:rsid w:val="44AE46CB"/>
    <w:rsid w:val="44D85896"/>
    <w:rsid w:val="45EA3DF8"/>
    <w:rsid w:val="46671001"/>
    <w:rsid w:val="468A38EB"/>
    <w:rsid w:val="46B4033C"/>
    <w:rsid w:val="46C05002"/>
    <w:rsid w:val="46F40F75"/>
    <w:rsid w:val="4704060A"/>
    <w:rsid w:val="479D05DB"/>
    <w:rsid w:val="47DE7E29"/>
    <w:rsid w:val="48095347"/>
    <w:rsid w:val="480954EB"/>
    <w:rsid w:val="48205B95"/>
    <w:rsid w:val="482267A5"/>
    <w:rsid w:val="485677EE"/>
    <w:rsid w:val="49F17518"/>
    <w:rsid w:val="4A6F0787"/>
    <w:rsid w:val="4A9621B8"/>
    <w:rsid w:val="4AD25CE2"/>
    <w:rsid w:val="4B131198"/>
    <w:rsid w:val="4B3720C8"/>
    <w:rsid w:val="4BA44B6F"/>
    <w:rsid w:val="4BE8161F"/>
    <w:rsid w:val="4C8A5B52"/>
    <w:rsid w:val="4CE2256B"/>
    <w:rsid w:val="4D0A3535"/>
    <w:rsid w:val="4D7169B4"/>
    <w:rsid w:val="4D77063F"/>
    <w:rsid w:val="4DB2084A"/>
    <w:rsid w:val="4DC86EA2"/>
    <w:rsid w:val="4E7131D7"/>
    <w:rsid w:val="4EAA0579"/>
    <w:rsid w:val="4EF406F4"/>
    <w:rsid w:val="4F5219B8"/>
    <w:rsid w:val="4F597C69"/>
    <w:rsid w:val="4F6D589C"/>
    <w:rsid w:val="4FB37E89"/>
    <w:rsid w:val="4FC36378"/>
    <w:rsid w:val="4FD3179C"/>
    <w:rsid w:val="501A3E5C"/>
    <w:rsid w:val="505D00EE"/>
    <w:rsid w:val="509D53F1"/>
    <w:rsid w:val="50E348B2"/>
    <w:rsid w:val="51586550"/>
    <w:rsid w:val="51CD14A4"/>
    <w:rsid w:val="51DA3F58"/>
    <w:rsid w:val="51E027AA"/>
    <w:rsid w:val="51FC0B54"/>
    <w:rsid w:val="52646836"/>
    <w:rsid w:val="52A06C7F"/>
    <w:rsid w:val="52A15B9E"/>
    <w:rsid w:val="52A721EB"/>
    <w:rsid w:val="52D77B49"/>
    <w:rsid w:val="53122565"/>
    <w:rsid w:val="532153FF"/>
    <w:rsid w:val="538F54B2"/>
    <w:rsid w:val="53954379"/>
    <w:rsid w:val="53AF540D"/>
    <w:rsid w:val="54601850"/>
    <w:rsid w:val="55B145C6"/>
    <w:rsid w:val="5618025D"/>
    <w:rsid w:val="5638788F"/>
    <w:rsid w:val="57130FC8"/>
    <w:rsid w:val="575D30C7"/>
    <w:rsid w:val="57714B18"/>
    <w:rsid w:val="578021EE"/>
    <w:rsid w:val="57D16746"/>
    <w:rsid w:val="57D72025"/>
    <w:rsid w:val="58925CF7"/>
    <w:rsid w:val="58B1272A"/>
    <w:rsid w:val="58D932B1"/>
    <w:rsid w:val="5A092237"/>
    <w:rsid w:val="5ACE3803"/>
    <w:rsid w:val="5B070831"/>
    <w:rsid w:val="5BB5275A"/>
    <w:rsid w:val="5BBB04C6"/>
    <w:rsid w:val="5C3444BE"/>
    <w:rsid w:val="5C6D6EFB"/>
    <w:rsid w:val="5C724041"/>
    <w:rsid w:val="5C8018C0"/>
    <w:rsid w:val="5CE53817"/>
    <w:rsid w:val="5D117E17"/>
    <w:rsid w:val="5D950B1A"/>
    <w:rsid w:val="5DBA5015"/>
    <w:rsid w:val="5F024EF0"/>
    <w:rsid w:val="5FA04894"/>
    <w:rsid w:val="5FB86154"/>
    <w:rsid w:val="5FDA438B"/>
    <w:rsid w:val="602D2A55"/>
    <w:rsid w:val="60444929"/>
    <w:rsid w:val="60A42B91"/>
    <w:rsid w:val="60D20B3F"/>
    <w:rsid w:val="6128373F"/>
    <w:rsid w:val="616819F5"/>
    <w:rsid w:val="618B400D"/>
    <w:rsid w:val="61C07D9C"/>
    <w:rsid w:val="624110A7"/>
    <w:rsid w:val="624F10F7"/>
    <w:rsid w:val="62510AC4"/>
    <w:rsid w:val="62546DB1"/>
    <w:rsid w:val="62BF3F11"/>
    <w:rsid w:val="62DA418E"/>
    <w:rsid w:val="62FD0CA8"/>
    <w:rsid w:val="63040B25"/>
    <w:rsid w:val="630B2FD5"/>
    <w:rsid w:val="63DD630A"/>
    <w:rsid w:val="64025950"/>
    <w:rsid w:val="64035990"/>
    <w:rsid w:val="648C0A21"/>
    <w:rsid w:val="64930694"/>
    <w:rsid w:val="64AD06FE"/>
    <w:rsid w:val="65030CC4"/>
    <w:rsid w:val="659B767F"/>
    <w:rsid w:val="65CA50D1"/>
    <w:rsid w:val="66183765"/>
    <w:rsid w:val="661D71C4"/>
    <w:rsid w:val="66581BE0"/>
    <w:rsid w:val="66736FA6"/>
    <w:rsid w:val="66DD4F9F"/>
    <w:rsid w:val="67555AF7"/>
    <w:rsid w:val="676B7DF4"/>
    <w:rsid w:val="680F7BBE"/>
    <w:rsid w:val="685C6C19"/>
    <w:rsid w:val="689B7397"/>
    <w:rsid w:val="68BF5C11"/>
    <w:rsid w:val="696A4C59"/>
    <w:rsid w:val="69960751"/>
    <w:rsid w:val="69DB6064"/>
    <w:rsid w:val="6A2D3848"/>
    <w:rsid w:val="6A4C326A"/>
    <w:rsid w:val="6AC17F23"/>
    <w:rsid w:val="6B797A36"/>
    <w:rsid w:val="6BE74E96"/>
    <w:rsid w:val="6C392052"/>
    <w:rsid w:val="6C3C06B2"/>
    <w:rsid w:val="6C4B5A9D"/>
    <w:rsid w:val="6C4C64AB"/>
    <w:rsid w:val="6C7822A1"/>
    <w:rsid w:val="6D127CC7"/>
    <w:rsid w:val="6D1D6C3D"/>
    <w:rsid w:val="6D1F0741"/>
    <w:rsid w:val="6D2810F2"/>
    <w:rsid w:val="6D3D3BAB"/>
    <w:rsid w:val="6D505FE6"/>
    <w:rsid w:val="6E024F19"/>
    <w:rsid w:val="6E623A53"/>
    <w:rsid w:val="6EC300CA"/>
    <w:rsid w:val="6EC76F36"/>
    <w:rsid w:val="6ED51A76"/>
    <w:rsid w:val="6EF5336D"/>
    <w:rsid w:val="6F700DE2"/>
    <w:rsid w:val="6FA3393D"/>
    <w:rsid w:val="6FA80AA0"/>
    <w:rsid w:val="7118414F"/>
    <w:rsid w:val="71261FF2"/>
    <w:rsid w:val="71535E40"/>
    <w:rsid w:val="71D71AD5"/>
    <w:rsid w:val="71EE71CF"/>
    <w:rsid w:val="7283208D"/>
    <w:rsid w:val="72F6725D"/>
    <w:rsid w:val="74F80B25"/>
    <w:rsid w:val="75035030"/>
    <w:rsid w:val="75D40209"/>
    <w:rsid w:val="75E32355"/>
    <w:rsid w:val="763F2FB2"/>
    <w:rsid w:val="764F1302"/>
    <w:rsid w:val="778243D8"/>
    <w:rsid w:val="778B1F40"/>
    <w:rsid w:val="77A62E08"/>
    <w:rsid w:val="77F67CFF"/>
    <w:rsid w:val="78576114"/>
    <w:rsid w:val="789B10EC"/>
    <w:rsid w:val="797D0FAD"/>
    <w:rsid w:val="79A14822"/>
    <w:rsid w:val="7A304222"/>
    <w:rsid w:val="7A551317"/>
    <w:rsid w:val="7AB36893"/>
    <w:rsid w:val="7AE017AF"/>
    <w:rsid w:val="7C027ABC"/>
    <w:rsid w:val="7C3F54E2"/>
    <w:rsid w:val="7CA3699C"/>
    <w:rsid w:val="7DA323A7"/>
    <w:rsid w:val="7DEA5AA4"/>
    <w:rsid w:val="7DF62259"/>
    <w:rsid w:val="7E352028"/>
    <w:rsid w:val="7E357016"/>
    <w:rsid w:val="7E3C05E8"/>
    <w:rsid w:val="7E9D553E"/>
    <w:rsid w:val="7EED39FF"/>
    <w:rsid w:val="7FB91FCB"/>
    <w:rsid w:val="7FC10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paragraph" w:styleId="2">
    <w:name w:val="heading 1"/>
    <w:basedOn w:val="1"/>
    <w:next w:val="1"/>
    <w:qFormat/>
    <w:uiPriority w:val="0"/>
    <w:pPr>
      <w:keepNext/>
      <w:jc w:val="center"/>
      <w:outlineLvl w:val="0"/>
    </w:pPr>
    <w:rPr>
      <w:rFonts w:ascii="Calibri" w:hAnsi="Calibri"/>
      <w:b/>
      <w:bCs/>
      <w:color w:val="FF0000"/>
      <w:szCs w:val="21"/>
    </w:rPr>
  </w:style>
  <w:style w:type="paragraph" w:styleId="3">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paragraph" w:styleId="4">
    <w:name w:val="heading 3"/>
    <w:basedOn w:val="1"/>
    <w:next w:val="5"/>
    <w:qFormat/>
    <w:uiPriority w:val="0"/>
    <w:pPr>
      <w:keepNext/>
      <w:keepLines/>
      <w:spacing w:before="260" w:after="260" w:line="412" w:lineRule="auto"/>
      <w:outlineLvl w:val="2"/>
    </w:pPr>
    <w:rPr>
      <w:rFonts w:ascii="宋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宋体"/>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lang w:val="zh-CN"/>
    </w:rPr>
  </w:style>
  <w:style w:type="paragraph" w:styleId="8">
    <w:name w:val="Body Text Indent"/>
    <w:basedOn w:val="1"/>
    <w:qFormat/>
    <w:uiPriority w:val="0"/>
    <w:pPr>
      <w:ind w:firstLine="645"/>
    </w:pPr>
    <w:rPr>
      <w:rFonts w:ascii="楷体_GB2312"/>
    </w:rPr>
  </w:style>
  <w:style w:type="paragraph" w:styleId="9">
    <w:name w:val="Plain Text"/>
    <w:basedOn w:val="1"/>
    <w:unhideWhenUsed/>
    <w:qFormat/>
    <w:uiPriority w:val="0"/>
    <w:rPr>
      <w:rFonts w:ascii="宋体" w:hAnsi="Calibri"/>
      <w:szCs w:val="21"/>
    </w:rPr>
  </w:style>
  <w:style w:type="paragraph" w:styleId="10">
    <w:name w:val="Body Text Indent 2"/>
    <w:basedOn w:val="1"/>
    <w:qFormat/>
    <w:uiPriority w:val="99"/>
    <w:pPr>
      <w:ind w:firstLine="643" w:firstLineChars="201"/>
    </w:pPr>
    <w:rPr>
      <w:rFonts w:ascii="楷体_GB2312"/>
    </w:rPr>
  </w:style>
  <w:style w:type="paragraph" w:styleId="11">
    <w:name w:val="Balloon Text"/>
    <w:basedOn w:val="1"/>
    <w:link w:val="43"/>
    <w:uiPriority w:val="0"/>
    <w:rPr>
      <w:sz w:val="18"/>
      <w:szCs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rPr>
      <w:rFonts w:eastAsia="宋体"/>
    </w:rPr>
  </w:style>
  <w:style w:type="paragraph" w:styleId="15">
    <w:name w:val="Subtitle"/>
    <w:basedOn w:val="1"/>
    <w:next w:val="1"/>
    <w:qFormat/>
    <w:uiPriority w:val="0"/>
    <w:pPr>
      <w:spacing w:before="240" w:after="60" w:line="312" w:lineRule="auto"/>
      <w:jc w:val="center"/>
      <w:outlineLvl w:val="1"/>
    </w:pPr>
    <w:rPr>
      <w:rFonts w:ascii="等线 Light" w:hAnsi="等线 Light" w:eastAsia="宋体"/>
      <w:b/>
      <w:bCs/>
      <w:kern w:val="28"/>
      <w:szCs w:val="32"/>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0"/>
    <w:pPr>
      <w:spacing w:before="240" w:after="60"/>
      <w:jc w:val="center"/>
      <w:outlineLvl w:val="0"/>
    </w:pPr>
    <w:rPr>
      <w:rFonts w:ascii="等线 Light" w:hAnsi="等线 Light" w:eastAsia="宋体"/>
      <w:b/>
      <w:bCs/>
      <w:szCs w:val="32"/>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Emphasis"/>
    <w:basedOn w:val="21"/>
    <w:qFormat/>
    <w:uiPriority w:val="0"/>
    <w:rPr>
      <w:i/>
    </w:rPr>
  </w:style>
  <w:style w:type="character" w:styleId="24">
    <w:name w:val="Hyperlink"/>
    <w:qFormat/>
    <w:uiPriority w:val="99"/>
    <w:rPr>
      <w:color w:val="0000FF"/>
      <w:u w:val="single"/>
    </w:rPr>
  </w:style>
  <w:style w:type="paragraph" w:customStyle="1" w:styleId="25">
    <w:name w:val="Default"/>
    <w:basedOn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首行缩进两字）"/>
    <w:basedOn w:val="1"/>
    <w:qFormat/>
    <w:uiPriority w:val="0"/>
    <w:rPr>
      <w:szCs w:val="21"/>
    </w:rPr>
  </w:style>
  <w:style w:type="paragraph" w:customStyle="1" w:styleId="27">
    <w:name w:val="表格"/>
    <w:basedOn w:val="1"/>
    <w:qFormat/>
    <w:uiPriority w:val="0"/>
    <w:pPr>
      <w:adjustRightInd w:val="0"/>
      <w:spacing w:before="60" w:after="60"/>
      <w:jc w:val="center"/>
      <w:textAlignment w:val="baseline"/>
    </w:pPr>
    <w:rPr>
      <w:rFonts w:ascii="宋体"/>
      <w:kern w:val="0"/>
      <w:sz w:val="24"/>
    </w:rPr>
  </w:style>
  <w:style w:type="paragraph" w:customStyle="1" w:styleId="28">
    <w:name w:val="p0"/>
    <w:basedOn w:val="1"/>
    <w:qFormat/>
    <w:uiPriority w:val="0"/>
    <w:pPr>
      <w:widowControl/>
    </w:pPr>
    <w:rPr>
      <w:kern w:val="0"/>
      <w:szCs w:val="21"/>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31">
    <w:name w:val="样式2"/>
    <w:basedOn w:val="1"/>
    <w:qFormat/>
    <w:uiPriority w:val="0"/>
    <w:pPr>
      <w:adjustRightInd w:val="0"/>
      <w:spacing w:line="410" w:lineRule="atLeast"/>
      <w:jc w:val="left"/>
    </w:pPr>
    <w:rPr>
      <w:kern w:val="0"/>
      <w:sz w:val="24"/>
    </w:rPr>
  </w:style>
  <w:style w:type="paragraph" w:customStyle="1" w:styleId="32">
    <w:name w:val="正文1"/>
    <w:basedOn w:val="1"/>
    <w:qFormat/>
    <w:uiPriority w:val="0"/>
    <w:pPr>
      <w:adjustRightInd w:val="0"/>
      <w:spacing w:line="360" w:lineRule="atLeast"/>
      <w:jc w:val="left"/>
    </w:pPr>
    <w:rPr>
      <w:rFonts w:ascii="宋体"/>
      <w:kern w:val="0"/>
      <w:sz w:val="24"/>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1)"/>
    <w:basedOn w:val="1"/>
    <w:qFormat/>
    <w:uiPriority w:val="0"/>
    <w:pPr>
      <w:adjustRightInd w:val="0"/>
      <w:snapToGrid w:val="0"/>
      <w:textAlignment w:val="baseline"/>
    </w:pPr>
    <w:rPr>
      <w:rFonts w:eastAsia="仿宋体"/>
      <w:color w:val="000000"/>
      <w:kern w:val="0"/>
      <w:sz w:val="24"/>
    </w:rPr>
  </w:style>
  <w:style w:type="paragraph" w:styleId="35">
    <w:name w:val="No Spacing"/>
    <w:qFormat/>
    <w:uiPriority w:val="1"/>
    <w:pPr>
      <w:widowControl w:val="0"/>
      <w:jc w:val="both"/>
    </w:pPr>
    <w:rPr>
      <w:rFonts w:ascii="Times New Roman" w:hAnsi="Times New Roman" w:eastAsia="宋体" w:cs="Times New Roman"/>
      <w:szCs w:val="24"/>
      <w:lang w:val="en-US" w:eastAsia="zh-CN" w:bidi="ar-SA"/>
    </w:rPr>
  </w:style>
  <w:style w:type="paragraph" w:styleId="36">
    <w:name w:val="List Paragraph"/>
    <w:basedOn w:val="1"/>
    <w:qFormat/>
    <w:uiPriority w:val="34"/>
    <w:pPr>
      <w:ind w:firstLine="420" w:firstLineChars="200"/>
    </w:pPr>
  </w:style>
  <w:style w:type="paragraph" w:customStyle="1" w:styleId="37">
    <w:name w:val="样式 标题 2 + Times New Roman 四号 非加粗 段前: 5 磅 段后: 0 磅 行距: 固定值 20..."/>
    <w:basedOn w:val="3"/>
    <w:qFormat/>
    <w:uiPriority w:val="0"/>
    <w:pPr>
      <w:tabs>
        <w:tab w:val="clear" w:pos="780"/>
      </w:tabs>
      <w:spacing w:before="100"/>
    </w:pPr>
    <w:rPr>
      <w:rFonts w:ascii="Times New Roman" w:hAnsi="Times New Roman" w:eastAsia="黑体" w:cs="宋体"/>
      <w:sz w:val="28"/>
      <w:szCs w:val="20"/>
    </w:rPr>
  </w:style>
  <w:style w:type="paragraph" w:customStyle="1" w:styleId="38">
    <w:name w:val="正文(单倍行距)"/>
    <w:basedOn w:val="1"/>
    <w:qFormat/>
    <w:uiPriority w:val="0"/>
    <w:pPr>
      <w:adjustRightInd w:val="0"/>
      <w:snapToGrid w:val="0"/>
      <w:jc w:val="center"/>
    </w:pPr>
  </w:style>
  <w:style w:type="paragraph" w:customStyle="1" w:styleId="3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0">
    <w:name w:val="普通(网站)1"/>
    <w:basedOn w:val="1"/>
    <w:qFormat/>
    <w:uiPriority w:val="0"/>
    <w:pPr>
      <w:spacing w:before="100" w:beforeAutospacing="1" w:after="100" w:afterAutospacing="1"/>
    </w:pPr>
    <w:rPr>
      <w:rFonts w:ascii="宋体" w:hAnsi="宋体"/>
      <w:sz w:val="24"/>
    </w:rPr>
  </w:style>
  <w:style w:type="character" w:customStyle="1" w:styleId="41">
    <w:name w:val="font21"/>
    <w:basedOn w:val="21"/>
    <w:qFormat/>
    <w:uiPriority w:val="0"/>
    <w:rPr>
      <w:rFonts w:hint="eastAsia" w:ascii="宋体" w:hAnsi="宋体" w:eastAsia="宋体" w:cs="宋体"/>
      <w:b/>
      <w:bCs/>
      <w:color w:val="000000"/>
      <w:sz w:val="18"/>
      <w:szCs w:val="18"/>
      <w:u w:val="single"/>
    </w:rPr>
  </w:style>
  <w:style w:type="character" w:customStyle="1" w:styleId="42">
    <w:name w:val="font51"/>
    <w:basedOn w:val="21"/>
    <w:qFormat/>
    <w:uiPriority w:val="0"/>
    <w:rPr>
      <w:rFonts w:hint="eastAsia" w:ascii="宋体" w:hAnsi="宋体" w:eastAsia="宋体" w:cs="宋体"/>
      <w:b/>
      <w:bCs/>
      <w:color w:val="000000"/>
      <w:sz w:val="18"/>
      <w:szCs w:val="18"/>
      <w:u w:val="none"/>
    </w:rPr>
  </w:style>
  <w:style w:type="character" w:customStyle="1" w:styleId="43">
    <w:name w:val="批注框文本 Char"/>
    <w:basedOn w:val="21"/>
    <w:link w:val="11"/>
    <w:qFormat/>
    <w:uiPriority w:val="0"/>
    <w:rPr>
      <w:rFonts w:eastAsia="楷体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D19D3-8BD9-43A9-9EDA-87ACCF3194D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967</Words>
  <Characters>5512</Characters>
  <Lines>45</Lines>
  <Paragraphs>12</Paragraphs>
  <TotalTime>47</TotalTime>
  <ScaleCrop>false</ScaleCrop>
  <LinksUpToDate>false</LinksUpToDate>
  <CharactersWithSpaces>6467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2023-09-04T07:49:00Z</dcterms:created>
  <dc:creator>nrm</dc:creator>
  <cp:lastModifiedBy>英雷</cp:lastModifiedBy>
  <cp:lastPrinted>2020-09-30T00:14:00Z</cp:lastPrinted>
  <dcterms:modified xsi:type="dcterms:W3CDTF">2023-10-07T09:08:58Z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3B5AE65823334EB99095B7B41D5AB4A6_13</vt:lpwstr>
  </property>
</Properties>
</file>