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973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6596"/>
        <w:gridCol w:w="15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8" w:hRule="atLeast"/>
        </w:trPr>
        <w:tc>
          <w:tcPr>
            <w:tcW w:w="1624" w:type="dxa"/>
            <w:vAlign w:val="center"/>
          </w:tcPr>
          <w:p>
            <w:pPr>
              <w:ind w:firstLine="210" w:firstLineChars="100"/>
              <w:rPr>
                <w:color w:val="000000"/>
              </w:rPr>
            </w:pPr>
            <w:r>
              <w:rPr>
                <w:color w:val="000000"/>
              </w:rPr>
              <w:pict>
                <v:shape id="图片 29" o:spid="_x0000_s1026" o:spt="75" type="#_x0000_t75" style="position:absolute;left:0pt;margin-left:0.9pt;margin-top:14.1pt;height:37.05pt;width:71.25pt;z-index:251659264;mso-width-relative:page;mso-height-relative:page;" filled="f" o:preferrelative="t" stroked="f" coordsize="21600,21600">
                  <v:path/>
                  <v:fill on="f" focussize="0,0"/>
                  <v:stroke on="f" joinstyle="miter"/>
                  <v:imagedata r:id="rId7" o:title=""/>
                  <o:lock v:ext="edit" aspectratio="t"/>
                </v:shape>
              </w:pict>
            </w:r>
          </w:p>
        </w:tc>
        <w:tc>
          <w:tcPr>
            <w:tcW w:w="6596" w:type="dxa"/>
            <w:vAlign w:val="center"/>
          </w:tcPr>
          <w:p>
            <w:pPr>
              <w:jc w:val="center"/>
              <w:rPr>
                <w:b/>
                <w:color w:val="000000"/>
                <w:sz w:val="32"/>
                <w:szCs w:val="32"/>
              </w:rPr>
            </w:pPr>
            <w:r>
              <w:rPr>
                <w:rFonts w:hint="eastAsia"/>
                <w:b/>
                <w:color w:val="000000"/>
                <w:sz w:val="32"/>
                <w:szCs w:val="32"/>
                <w:lang w:eastAsia="zh-CN"/>
              </w:rPr>
              <w:t>广西百矿铝业</w:t>
            </w:r>
            <w:r>
              <w:rPr>
                <w:rFonts w:hint="eastAsia"/>
                <w:b/>
                <w:color w:val="000000"/>
                <w:sz w:val="32"/>
                <w:szCs w:val="32"/>
              </w:rPr>
              <w:t>有限公司</w:t>
            </w:r>
          </w:p>
        </w:tc>
        <w:tc>
          <w:tcPr>
            <w:tcW w:w="1517" w:type="dxa"/>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10" w:hRule="atLeast"/>
        </w:trPr>
        <w:tc>
          <w:tcPr>
            <w:tcW w:w="9737" w:type="dxa"/>
            <w:gridSpan w:val="3"/>
            <w:tcBorders>
              <w:bottom w:val="single" w:color="auto" w:sz="4" w:space="0"/>
            </w:tcBorders>
          </w:tcPr>
          <w:p>
            <w:pPr>
              <w:rPr>
                <w:b/>
                <w:color w:val="000000"/>
                <w:sz w:val="32"/>
              </w:rPr>
            </w:pPr>
          </w:p>
          <w:p>
            <w:pPr>
              <w:rPr>
                <w:b/>
                <w:color w:val="000000"/>
                <w:sz w:val="32"/>
              </w:rPr>
            </w:pPr>
          </w:p>
          <w:p>
            <w:pPr>
              <w:rPr>
                <w:rFonts w:hint="eastAsia" w:eastAsia="宋体"/>
                <w:color w:val="000000"/>
                <w:sz w:val="52"/>
                <w:szCs w:val="52"/>
                <w:lang w:eastAsia="zh-CN"/>
              </w:rPr>
            </w:pPr>
          </w:p>
          <w:p>
            <w:pPr>
              <w:pStyle w:val="46"/>
              <w:rPr>
                <w:rFonts w:hint="eastAsia"/>
                <w:lang w:eastAsia="zh-CN"/>
              </w:rPr>
            </w:pPr>
          </w:p>
          <w:p>
            <w:pPr>
              <w:jc w:val="center"/>
              <w:rPr>
                <w:rFonts w:hint="eastAsia" w:ascii="宋体" w:hAnsi="宋体"/>
                <w:kern w:val="0"/>
                <w:sz w:val="40"/>
                <w:szCs w:val="22"/>
                <w:lang w:eastAsia="zh-CN"/>
              </w:rPr>
            </w:pPr>
            <w:r>
              <w:rPr>
                <w:rFonts w:hint="eastAsia" w:ascii="宋体" w:hAnsi="宋体"/>
                <w:kern w:val="0"/>
                <w:sz w:val="40"/>
                <w:szCs w:val="22"/>
                <w:lang w:eastAsia="zh-CN"/>
              </w:rPr>
              <w:t>关于百矿铝厂</w:t>
            </w:r>
            <w:r>
              <w:rPr>
                <w:rFonts w:hint="eastAsia" w:ascii="宋体" w:hAnsi="宋体"/>
                <w:kern w:val="0"/>
                <w:sz w:val="40"/>
                <w:szCs w:val="22"/>
                <w:lang w:val="en-US" w:eastAsia="zh-CN"/>
              </w:rPr>
              <w:t>设备20必有、十大表象整改</w:t>
            </w:r>
            <w:r>
              <w:rPr>
                <w:rFonts w:hint="eastAsia" w:ascii="宋体" w:hAnsi="宋体"/>
                <w:kern w:val="0"/>
                <w:sz w:val="40"/>
                <w:szCs w:val="22"/>
                <w:lang w:eastAsia="zh-CN"/>
              </w:rPr>
              <w:t>物资采购</w:t>
            </w:r>
          </w:p>
          <w:p>
            <w:pPr>
              <w:jc w:val="center"/>
              <w:rPr>
                <w:rFonts w:hint="eastAsia" w:ascii="宋体" w:hAnsi="宋体"/>
                <w:kern w:val="0"/>
                <w:sz w:val="40"/>
                <w:szCs w:val="22"/>
                <w:lang w:eastAsia="zh-CN"/>
              </w:rPr>
            </w:pPr>
            <w:r>
              <w:rPr>
                <w:rFonts w:hint="eastAsia" w:ascii="宋体" w:hAnsi="宋体"/>
                <w:kern w:val="0"/>
                <w:sz w:val="40"/>
                <w:szCs w:val="22"/>
                <w:lang w:eastAsia="zh-CN"/>
              </w:rPr>
              <w:t>项目</w:t>
            </w:r>
          </w:p>
          <w:p>
            <w:pPr>
              <w:jc w:val="center"/>
              <w:rPr>
                <w:b/>
                <w:color w:val="000000"/>
                <w:sz w:val="48"/>
              </w:rPr>
            </w:pPr>
          </w:p>
          <w:p>
            <w:pPr>
              <w:jc w:val="center"/>
              <w:rPr>
                <w:b/>
                <w:sz w:val="84"/>
                <w:szCs w:val="84"/>
              </w:rPr>
            </w:pPr>
            <w:r>
              <w:rPr>
                <w:b/>
                <w:sz w:val="84"/>
                <w:szCs w:val="84"/>
              </w:rPr>
              <w:t>技术</w:t>
            </w:r>
            <w:r>
              <w:rPr>
                <w:rFonts w:hint="eastAsia"/>
                <w:b/>
                <w:sz w:val="84"/>
                <w:szCs w:val="84"/>
              </w:rPr>
              <w:t>任务书</w:t>
            </w:r>
          </w:p>
          <w:p>
            <w:pPr>
              <w:jc w:val="center"/>
              <w:rPr>
                <w:color w:val="000000"/>
              </w:rPr>
            </w:pPr>
          </w:p>
          <w:p>
            <w:pPr>
              <w:jc w:val="center"/>
              <w:rPr>
                <w:b/>
                <w:bCs/>
                <w:color w:val="000000"/>
                <w:sz w:val="28"/>
              </w:rPr>
            </w:pPr>
          </w:p>
          <w:p>
            <w:pPr>
              <w:jc w:val="center"/>
              <w:rPr>
                <w:color w:val="000000"/>
              </w:rPr>
            </w:pPr>
          </w:p>
          <w:p>
            <w:pPr>
              <w:jc w:val="center"/>
              <w:rPr>
                <w:color w:val="000000"/>
              </w:rPr>
            </w:pPr>
          </w:p>
          <w:p>
            <w:pPr>
              <w:jc w:val="center"/>
              <w:rPr>
                <w:color w:val="00000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sz w:val="30"/>
                <w:szCs w:val="30"/>
              </w:rPr>
            </w:pPr>
          </w:p>
          <w:p>
            <w:pPr>
              <w:spacing w:line="300" w:lineRule="auto"/>
              <w:ind w:left="840" w:leftChars="270" w:hanging="273" w:hangingChars="91"/>
              <w:rPr>
                <w:color w:val="FF0000"/>
                <w:sz w:val="30"/>
                <w:szCs w:val="30"/>
              </w:rPr>
            </w:pPr>
          </w:p>
          <w:p>
            <w:pPr>
              <w:spacing w:line="300" w:lineRule="auto"/>
              <w:ind w:left="758" w:leftChars="270" w:hanging="191" w:hangingChars="91"/>
              <w:rPr>
                <w:color w:val="000000"/>
              </w:rPr>
            </w:pPr>
          </w:p>
        </w:tc>
      </w:tr>
    </w:tbl>
    <w:p>
      <w:pPr>
        <w:tabs>
          <w:tab w:val="left" w:pos="1320"/>
        </w:tabs>
        <w:autoSpaceDE w:val="0"/>
        <w:autoSpaceDN w:val="0"/>
        <w:adjustRightInd w:val="0"/>
        <w:spacing w:line="312" w:lineRule="auto"/>
        <w:ind w:right="-109"/>
        <w:rPr>
          <w:sz w:val="18"/>
          <w:szCs w:val="18"/>
        </w:rPr>
      </w:pPr>
    </w:p>
    <w:p>
      <w:pPr>
        <w:pStyle w:val="46"/>
        <w:rPr>
          <w:sz w:val="18"/>
          <w:szCs w:val="18"/>
        </w:rPr>
      </w:pPr>
    </w:p>
    <w:p>
      <w:pPr>
        <w:pStyle w:val="46"/>
        <w:rPr>
          <w:sz w:val="18"/>
          <w:szCs w:val="18"/>
        </w:rPr>
      </w:pPr>
    </w:p>
    <w:p>
      <w:pPr>
        <w:pStyle w:val="37"/>
        <w:rPr>
          <w:rFonts w:ascii="Times New Roman" w:hAnsi="Times New Roman"/>
        </w:rPr>
      </w:pPr>
      <w:bookmarkStart w:id="0" w:name="_Toc10040"/>
      <w:r>
        <w:rPr>
          <w:rFonts w:ascii="Times New Roman"/>
        </w:rPr>
        <w:t>目录</w:t>
      </w:r>
      <w:bookmarkEnd w:id="0"/>
    </w:p>
    <w:p>
      <w:pPr>
        <w:pStyle w:val="29"/>
        <w:tabs>
          <w:tab w:val="right" w:leader="dot" w:pos="9639"/>
        </w:tabs>
        <w:rPr>
          <w:rFonts w:hint="eastAsia" w:ascii="宋体" w:hAnsi="宋体" w:eastAsia="宋体" w:cs="宋体"/>
          <w:sz w:val="28"/>
          <w:szCs w:val="28"/>
        </w:rPr>
      </w:pPr>
      <w:r>
        <w:rPr>
          <w:rFonts w:hint="eastAsia" w:ascii="宋体" w:hAnsi="宋体" w:eastAsia="宋体" w:cs="宋体"/>
          <w:b w:val="0"/>
          <w:color w:val="000000"/>
          <w:sz w:val="28"/>
          <w:szCs w:val="28"/>
        </w:rPr>
        <w:fldChar w:fldCharType="begin"/>
      </w:r>
      <w:r>
        <w:rPr>
          <w:rFonts w:hint="eastAsia" w:ascii="宋体" w:hAnsi="宋体" w:eastAsia="宋体" w:cs="宋体"/>
          <w:b w:val="0"/>
          <w:color w:val="000000"/>
          <w:sz w:val="28"/>
          <w:szCs w:val="28"/>
        </w:rPr>
        <w:instrText xml:space="preserve"> TOC \o "1-3" \h \z \u </w:instrText>
      </w:r>
      <w:r>
        <w:rPr>
          <w:rFonts w:hint="eastAsia" w:ascii="宋体" w:hAnsi="宋体" w:eastAsia="宋体" w:cs="宋体"/>
          <w:b w:val="0"/>
          <w:color w:val="000000"/>
          <w:sz w:val="28"/>
          <w:szCs w:val="28"/>
        </w:rPr>
        <w:fldChar w:fldCharType="separate"/>
      </w: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_Toc10040 </w:instrText>
      </w:r>
      <w:r>
        <w:rPr>
          <w:rFonts w:hint="eastAsia" w:ascii="宋体" w:hAnsi="宋体" w:eastAsia="宋体" w:cs="宋体"/>
          <w:sz w:val="28"/>
          <w:szCs w:val="28"/>
        </w:rPr>
        <w:fldChar w:fldCharType="separate"/>
      </w:r>
      <w:r>
        <w:rPr>
          <w:rFonts w:hint="eastAsia" w:ascii="宋体" w:hAnsi="宋体" w:eastAsia="宋体" w:cs="宋体"/>
          <w:sz w:val="28"/>
          <w:szCs w:val="28"/>
        </w:rPr>
        <w:t>目录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_Toc10040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4"/>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_Toc2103 </w:instrText>
      </w:r>
      <w:r>
        <w:rPr>
          <w:rFonts w:hint="eastAsia" w:ascii="宋体" w:hAnsi="宋体" w:eastAsia="宋体" w:cs="宋体"/>
          <w:sz w:val="28"/>
          <w:szCs w:val="28"/>
        </w:rPr>
        <w:fldChar w:fldCharType="separate"/>
      </w:r>
      <w:r>
        <w:rPr>
          <w:rFonts w:hint="eastAsia" w:ascii="宋体" w:hAnsi="宋体" w:eastAsia="宋体" w:cs="宋体"/>
          <w:bCs/>
          <w:sz w:val="28"/>
          <w:szCs w:val="28"/>
        </w:rPr>
        <w:t>1.1 项目描述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34"/>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_Toc25194 </w:instrText>
      </w:r>
      <w:r>
        <w:rPr>
          <w:rFonts w:hint="eastAsia" w:ascii="宋体" w:hAnsi="宋体" w:eastAsia="宋体" w:cs="宋体"/>
          <w:sz w:val="28"/>
          <w:szCs w:val="28"/>
        </w:rPr>
        <w:fldChar w:fldCharType="separate"/>
      </w:r>
      <w:r>
        <w:rPr>
          <w:rFonts w:hint="eastAsia" w:ascii="宋体" w:hAnsi="宋体" w:eastAsia="宋体" w:cs="宋体"/>
          <w:bCs/>
          <w:sz w:val="28"/>
          <w:szCs w:val="28"/>
        </w:rPr>
        <w:t>1.2 技术任务书说明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_Toc25194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29"/>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_Toc28653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2 </w:t>
      </w:r>
      <w:r>
        <w:rPr>
          <w:rFonts w:hint="eastAsia" w:ascii="宋体" w:hAnsi="宋体" w:eastAsia="宋体" w:cs="宋体"/>
          <w:bCs/>
          <w:sz w:val="28"/>
          <w:szCs w:val="28"/>
          <w:lang w:eastAsia="zh-CN"/>
        </w:rPr>
        <w:t>工作范围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_Toc28653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29"/>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_Toc30718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3 </w:t>
      </w:r>
      <w:r>
        <w:rPr>
          <w:rFonts w:hint="eastAsia" w:ascii="宋体" w:hAnsi="宋体" w:eastAsia="宋体" w:cs="宋体"/>
          <w:bCs/>
          <w:sz w:val="28"/>
          <w:szCs w:val="28"/>
          <w:lang w:eastAsia="zh-CN"/>
        </w:rPr>
        <w:t>执行标准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_Toc30718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29"/>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_Toc32557 </w:instrText>
      </w:r>
      <w:r>
        <w:rPr>
          <w:rFonts w:hint="eastAsia" w:ascii="宋体" w:hAnsi="宋体" w:eastAsia="宋体" w:cs="宋体"/>
          <w:sz w:val="28"/>
          <w:szCs w:val="28"/>
        </w:rPr>
        <w:fldChar w:fldCharType="separate"/>
      </w:r>
      <w:r>
        <w:rPr>
          <w:rFonts w:hint="eastAsia" w:ascii="宋体" w:hAnsi="宋体" w:eastAsia="宋体" w:cs="宋体"/>
          <w:bCs/>
          <w:sz w:val="28"/>
          <w:szCs w:val="28"/>
        </w:rPr>
        <w:t xml:space="preserve">4 </w:t>
      </w:r>
      <w:r>
        <w:rPr>
          <w:rFonts w:hint="eastAsia" w:ascii="宋体" w:hAnsi="宋体" w:eastAsia="宋体" w:cs="宋体"/>
          <w:bCs/>
          <w:sz w:val="28"/>
          <w:szCs w:val="28"/>
          <w:lang w:eastAsia="zh-CN"/>
        </w:rPr>
        <w:t>工作</w:t>
      </w:r>
      <w:r>
        <w:rPr>
          <w:rFonts w:hint="eastAsia" w:ascii="宋体" w:hAnsi="宋体" w:eastAsia="宋体" w:cs="宋体"/>
          <w:bCs/>
          <w:sz w:val="28"/>
          <w:szCs w:val="28"/>
        </w:rPr>
        <w:t>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_Toc32557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29"/>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_Toc14317 </w:instrText>
      </w:r>
      <w:r>
        <w:rPr>
          <w:rFonts w:hint="eastAsia" w:ascii="宋体" w:hAnsi="宋体" w:eastAsia="宋体" w:cs="宋体"/>
          <w:sz w:val="28"/>
          <w:szCs w:val="28"/>
        </w:rPr>
        <w:fldChar w:fldCharType="separate"/>
      </w:r>
      <w:r>
        <w:rPr>
          <w:rFonts w:hint="eastAsia" w:ascii="宋体" w:hAnsi="宋体" w:eastAsia="宋体" w:cs="宋体"/>
          <w:bCs/>
          <w:sz w:val="28"/>
          <w:szCs w:val="28"/>
        </w:rPr>
        <w:t>5 安全约定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_Toc14317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29"/>
        <w:tabs>
          <w:tab w:val="right" w:leader="dot" w:pos="9639"/>
        </w:tabs>
        <w:rPr>
          <w:rFonts w:hint="eastAsia" w:ascii="宋体" w:hAnsi="宋体" w:eastAsia="宋体" w:cs="宋体"/>
          <w:sz w:val="28"/>
          <w:szCs w:val="28"/>
        </w:rPr>
      </w:pPr>
      <w:r>
        <w:rPr>
          <w:rFonts w:hint="eastAsia" w:ascii="宋体" w:hAnsi="宋体" w:eastAsia="宋体" w:cs="宋体"/>
          <w:color w:val="000000"/>
          <w:sz w:val="28"/>
          <w:szCs w:val="28"/>
        </w:rPr>
        <w:fldChar w:fldCharType="begin"/>
      </w:r>
      <w:r>
        <w:rPr>
          <w:rFonts w:hint="eastAsia" w:ascii="宋体" w:hAnsi="宋体" w:eastAsia="宋体" w:cs="宋体"/>
          <w:sz w:val="28"/>
          <w:szCs w:val="28"/>
        </w:rPr>
        <w:instrText xml:space="preserve"> HYPERLINK \l _Toc23920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6</w:t>
      </w:r>
      <w:r>
        <w:rPr>
          <w:rFonts w:hint="eastAsia" w:ascii="宋体" w:hAnsi="宋体" w:eastAsia="宋体" w:cs="宋体"/>
          <w:bCs/>
          <w:sz w:val="28"/>
          <w:szCs w:val="28"/>
        </w:rPr>
        <w:t xml:space="preserve">   其它说明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_Toc23920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000000"/>
          <w:sz w:val="28"/>
          <w:szCs w:val="28"/>
        </w:rPr>
        <w:fldChar w:fldCharType="end"/>
      </w:r>
    </w:p>
    <w:p>
      <w:pPr>
        <w:pStyle w:val="29"/>
        <w:keepNext w:val="0"/>
        <w:keepLines w:val="0"/>
        <w:pageBreakBefore w:val="0"/>
        <w:widowControl w:val="0"/>
        <w:tabs>
          <w:tab w:val="left" w:pos="420"/>
          <w:tab w:val="right" w:leader="dot" w:pos="9629"/>
        </w:tabs>
        <w:kinsoku/>
        <w:wordWrap/>
        <w:overflowPunct/>
        <w:topLinePunct w:val="0"/>
        <w:bidi w:val="0"/>
        <w:spacing w:line="560" w:lineRule="exact"/>
        <w:textAlignment w:val="auto"/>
        <w:rPr>
          <w:b w:val="0"/>
          <w:bCs w:val="0"/>
          <w:color w:val="000000"/>
          <w:sz w:val="24"/>
        </w:rPr>
      </w:pP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br w:type="page"/>
      </w:r>
      <w:bookmarkStart w:id="1" w:name="_Toc322595417"/>
      <w:bookmarkStart w:id="2" w:name="_Toc322501694"/>
      <w:r>
        <w:rPr>
          <w:rFonts w:hint="eastAsia" w:ascii="宋体" w:hAnsi="宋体" w:cs="宋体"/>
          <w:color w:val="000000"/>
          <w:sz w:val="28"/>
          <w:szCs w:val="28"/>
          <w:lang w:val="en-US" w:eastAsia="zh-CN"/>
        </w:rPr>
        <w:t xml:space="preserve">    </w:t>
      </w:r>
      <w:r>
        <w:rPr>
          <w:rFonts w:hint="eastAsia" w:ascii="Times New Roman" w:hAnsi="Times New Roman" w:cs="Times New Roman"/>
          <w:b/>
          <w:bCs/>
          <w:caps w:val="0"/>
          <w:color w:val="000000"/>
          <w:kern w:val="2"/>
          <w:sz w:val="24"/>
          <w:szCs w:val="24"/>
          <w:lang w:val="en-US" w:eastAsia="zh-CN" w:bidi="ar-SA"/>
        </w:rPr>
        <w:t>1.</w:t>
      </w:r>
      <w:r>
        <w:rPr>
          <w:rFonts w:hint="eastAsia" w:ascii="Times New Roman" w:hAnsi="Times New Roman" w:eastAsia="宋体" w:cs="Times New Roman"/>
          <w:b/>
          <w:bCs/>
          <w:caps w:val="0"/>
          <w:color w:val="000000"/>
          <w:kern w:val="2"/>
          <w:sz w:val="24"/>
          <w:szCs w:val="24"/>
          <w:lang w:val="en-US" w:eastAsia="zh-CN" w:bidi="ar-SA"/>
        </w:rPr>
        <w:t>总述</w:t>
      </w:r>
      <w:bookmarkEnd w:id="1"/>
      <w:bookmarkEnd w:id="2"/>
    </w:p>
    <w:p>
      <w:pPr>
        <w:keepNext w:val="0"/>
        <w:keepLines w:val="0"/>
        <w:pageBreakBefore w:val="0"/>
        <w:widowControl w:val="0"/>
        <w:numPr>
          <w:numId w:val="0"/>
        </w:numPr>
        <w:kinsoku/>
        <w:wordWrap/>
        <w:overflowPunct/>
        <w:topLinePunct w:val="0"/>
        <w:bidi w:val="0"/>
        <w:spacing w:line="560" w:lineRule="exact"/>
        <w:ind w:leftChars="0" w:firstLine="480" w:firstLineChars="200"/>
        <w:textAlignment w:val="auto"/>
        <w:outlineLvl w:val="1"/>
        <w:rPr>
          <w:bCs/>
          <w:color w:val="000000"/>
          <w:sz w:val="24"/>
        </w:rPr>
      </w:pPr>
      <w:bookmarkStart w:id="3" w:name="_Toc2103"/>
      <w:bookmarkStart w:id="4" w:name="_Toc322595418"/>
      <w:r>
        <w:rPr>
          <w:rFonts w:hint="eastAsia"/>
          <w:bCs/>
          <w:color w:val="000000"/>
          <w:sz w:val="24"/>
          <w:lang w:val="en-US" w:eastAsia="zh-CN"/>
        </w:rPr>
        <w:t>1.1</w:t>
      </w:r>
      <w:r>
        <w:rPr>
          <w:bCs/>
          <w:color w:val="000000"/>
          <w:sz w:val="24"/>
        </w:rPr>
        <w:t>项目描述</w:t>
      </w:r>
      <w:bookmarkEnd w:id="3"/>
      <w:bookmarkEnd w:id="4"/>
      <w:bookmarkStart w:id="5" w:name="_Toc25194"/>
      <w:bookmarkStart w:id="6" w:name="_Toc322595421"/>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cs="Times New Roman"/>
          <w:sz w:val="24"/>
          <w:lang w:val="en-US" w:eastAsia="zh-CN"/>
        </w:rPr>
      </w:pPr>
      <w:r>
        <w:rPr>
          <w:rFonts w:hint="eastAsia" w:ascii="宋体" w:hAnsi="宋体" w:cs="Times New Roman"/>
          <w:sz w:val="24"/>
          <w:lang w:val="en-US" w:eastAsia="zh-CN"/>
        </w:rPr>
        <w:t>为加强设备管理，提高设备管理水平，提升设备基础安全，实现员工设备自主管理。田阳铝厂根据集团的工作部署开展了属地自查自纠工作，列问题清单，依清单节点进行整改。在整改的过程中，相当数量的问题因缺少相应的物资未能进行整改：部分电线缆的套管、部分设备面漆脱落的补漆、部分平台栏杆的加装、配电箱的上锁防呆及各种责任牌的更换等。为保证设备“20必有”十大表象存在问题能按节点完成整改，特申请采购现场隐患整改物资。（阳铝厂设备20必有、十大表象整改物资需求表）</w:t>
      </w:r>
    </w:p>
    <w:p>
      <w:pPr>
        <w:keepNext w:val="0"/>
        <w:keepLines w:val="0"/>
        <w:pageBreakBefore w:val="0"/>
        <w:widowControl w:val="0"/>
        <w:numPr>
          <w:ilvl w:val="0"/>
          <w:numId w:val="0"/>
        </w:numPr>
        <w:kinsoku/>
        <w:wordWrap/>
        <w:overflowPunct/>
        <w:topLinePunct w:val="0"/>
        <w:bidi w:val="0"/>
        <w:spacing w:line="560" w:lineRule="exact"/>
        <w:ind w:leftChars="0" w:firstLine="480" w:firstLineChars="200"/>
        <w:textAlignment w:val="auto"/>
        <w:outlineLvl w:val="1"/>
        <w:rPr>
          <w:bCs/>
          <w:color w:val="000000"/>
          <w:sz w:val="24"/>
        </w:rPr>
      </w:pPr>
      <w:r>
        <w:rPr>
          <w:rFonts w:hint="eastAsia"/>
          <w:bCs/>
          <w:color w:val="000000"/>
          <w:sz w:val="24"/>
          <w:lang w:val="en-US" w:eastAsia="zh-CN"/>
        </w:rPr>
        <w:t>1.2</w:t>
      </w:r>
      <w:r>
        <w:rPr>
          <w:rFonts w:hint="eastAsia"/>
          <w:bCs/>
          <w:color w:val="000000"/>
          <w:sz w:val="24"/>
        </w:rPr>
        <w:t>技术任务书</w:t>
      </w:r>
      <w:r>
        <w:rPr>
          <w:bCs/>
          <w:color w:val="000000"/>
          <w:sz w:val="24"/>
        </w:rPr>
        <w:t>说明</w:t>
      </w:r>
      <w:bookmarkEnd w:id="5"/>
      <w:bookmarkEnd w:id="6"/>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cs="Times New Roman"/>
          <w:sz w:val="24"/>
          <w:lang w:val="en-US" w:eastAsia="zh-CN"/>
        </w:rPr>
      </w:pPr>
      <w:bookmarkStart w:id="7" w:name="_Toc322595426"/>
      <w:bookmarkStart w:id="8" w:name="_Toc322596801"/>
      <w:r>
        <w:rPr>
          <w:rFonts w:hint="eastAsia" w:ascii="宋体" w:hAnsi="宋体" w:cs="Times New Roman"/>
          <w:sz w:val="24"/>
          <w:lang w:val="en-US" w:eastAsia="zh-CN"/>
        </w:rPr>
        <w:t>投标方需仔细阅读技术任务书中的各项条款，如不能完全满足某项条款要求，投标方需明确指出，并提出不能满足的原因和投标方的解决方案。如投标方未明确指出，将会被默认为无条件响应招标文件要求。</w:t>
      </w:r>
    </w:p>
    <w:bookmarkEnd w:id="7"/>
    <w:bookmarkEnd w:id="8"/>
    <w:p>
      <w:pPr>
        <w:keepNext w:val="0"/>
        <w:keepLines w:val="0"/>
        <w:pageBreakBefore w:val="0"/>
        <w:widowControl w:val="0"/>
        <w:numPr>
          <w:numId w:val="0"/>
        </w:numPr>
        <w:kinsoku/>
        <w:wordWrap/>
        <w:overflowPunct/>
        <w:topLinePunct w:val="0"/>
        <w:bidi w:val="0"/>
        <w:spacing w:line="560" w:lineRule="exact"/>
        <w:ind w:leftChars="0" w:firstLine="482" w:firstLineChars="200"/>
        <w:textAlignment w:val="auto"/>
        <w:outlineLvl w:val="0"/>
        <w:rPr>
          <w:b/>
          <w:bCs/>
          <w:color w:val="000000"/>
          <w:sz w:val="24"/>
        </w:rPr>
      </w:pPr>
      <w:bookmarkStart w:id="9" w:name="_Toc28653"/>
      <w:r>
        <w:rPr>
          <w:rFonts w:hint="eastAsia"/>
          <w:b/>
          <w:bCs/>
          <w:color w:val="000000"/>
          <w:sz w:val="24"/>
          <w:lang w:val="en-US" w:eastAsia="zh-CN"/>
        </w:rPr>
        <w:t>2.</w:t>
      </w:r>
      <w:r>
        <w:rPr>
          <w:rFonts w:hint="eastAsia"/>
          <w:b/>
          <w:bCs/>
          <w:color w:val="000000"/>
          <w:sz w:val="24"/>
          <w:lang w:eastAsia="zh-CN"/>
        </w:rPr>
        <w:t>工作范围</w:t>
      </w:r>
      <w:bookmarkEnd w:id="9"/>
    </w:p>
    <w:p>
      <w:pPr>
        <w:pStyle w:val="46"/>
        <w:keepNext w:val="0"/>
        <w:keepLines w:val="0"/>
        <w:pageBreakBefore w:val="0"/>
        <w:widowControl w:val="0"/>
        <w:kinsoku/>
        <w:wordWrap/>
        <w:overflowPunct/>
        <w:topLinePunct w:val="0"/>
        <w:bidi w:val="0"/>
        <w:spacing w:line="560" w:lineRule="exact"/>
        <w:ind w:firstLine="480" w:firstLineChars="200"/>
        <w:textAlignment w:val="auto"/>
      </w:pPr>
      <w:r>
        <w:rPr>
          <w:rFonts w:hint="eastAsia" w:asciiTheme="minorEastAsia" w:hAnsiTheme="minorEastAsia" w:eastAsiaTheme="minorEastAsia"/>
          <w:sz w:val="24"/>
          <w:lang w:val="en-US" w:eastAsia="zh-CN"/>
        </w:rPr>
        <w:t>广西百矿铝业有限公司厂区内</w:t>
      </w:r>
    </w:p>
    <w:p>
      <w:pPr>
        <w:keepNext w:val="0"/>
        <w:keepLines w:val="0"/>
        <w:pageBreakBefore w:val="0"/>
        <w:widowControl w:val="0"/>
        <w:numPr>
          <w:numId w:val="0"/>
        </w:numPr>
        <w:kinsoku/>
        <w:wordWrap/>
        <w:overflowPunct/>
        <w:topLinePunct w:val="0"/>
        <w:bidi w:val="0"/>
        <w:spacing w:line="560" w:lineRule="exact"/>
        <w:ind w:leftChars="0" w:firstLine="482" w:firstLineChars="200"/>
        <w:textAlignment w:val="auto"/>
        <w:outlineLvl w:val="0"/>
        <w:rPr>
          <w:b/>
          <w:bCs/>
          <w:color w:val="000000"/>
          <w:sz w:val="24"/>
        </w:rPr>
      </w:pPr>
      <w:bookmarkStart w:id="10" w:name="_Toc30718"/>
      <w:r>
        <w:rPr>
          <w:rFonts w:hint="eastAsia"/>
          <w:b/>
          <w:bCs/>
          <w:color w:val="000000"/>
          <w:sz w:val="24"/>
          <w:lang w:val="en-US" w:eastAsia="zh-CN"/>
        </w:rPr>
        <w:t>3.</w:t>
      </w:r>
      <w:r>
        <w:rPr>
          <w:rFonts w:hint="eastAsia"/>
          <w:b/>
          <w:bCs/>
          <w:color w:val="000000"/>
          <w:sz w:val="24"/>
          <w:lang w:eastAsia="zh-CN"/>
        </w:rPr>
        <w:t>执行标准</w:t>
      </w:r>
      <w:bookmarkEnd w:id="10"/>
    </w:p>
    <w:p>
      <w:pPr>
        <w:keepNext w:val="0"/>
        <w:keepLines w:val="0"/>
        <w:pageBreakBefore w:val="0"/>
        <w:widowControl w:val="0"/>
        <w:kinsoku/>
        <w:wordWrap/>
        <w:overflowPunct/>
        <w:topLinePunct w:val="0"/>
        <w:bidi w:val="0"/>
        <w:spacing w:line="560" w:lineRule="exact"/>
        <w:ind w:left="0" w:leftChars="0"/>
        <w:textAlignment w:val="auto"/>
        <w:rPr>
          <w:rFonts w:hint="eastAsia" w:ascii="微软雅黑" w:hAnsi="微软雅黑" w:eastAsia="微软雅黑" w:cs="微软雅黑"/>
          <w:sz w:val="24"/>
          <w:szCs w:val="24"/>
          <w:lang w:val="en-US" w:eastAsia="zh-CN"/>
        </w:rPr>
      </w:pPr>
      <w:bookmarkStart w:id="11" w:name="_Toc322501701"/>
      <w:bookmarkStart w:id="12" w:name="_Toc322595428"/>
      <w:r>
        <w:rPr>
          <w:rFonts w:hint="eastAsia" w:ascii="微软雅黑" w:hAnsi="微软雅黑" w:eastAsia="微软雅黑" w:cs="微软雅黑"/>
          <w:b/>
          <w:bCs/>
          <w:color w:val="000000" w:themeColor="text1"/>
          <w:kern w:val="2"/>
          <w:sz w:val="24"/>
          <w:szCs w:val="24"/>
          <w:highlight w:val="none"/>
          <w:lang w:val="en-US" w:eastAsia="zh-CN" w:bidi="ar-SA"/>
        </w:rPr>
        <w:t xml:space="preserve">    3.1 </w:t>
      </w:r>
      <w:r>
        <w:rPr>
          <w:rFonts w:hint="eastAsia" w:ascii="微软雅黑" w:hAnsi="微软雅黑" w:eastAsia="微软雅黑" w:cs="微软雅黑"/>
          <w:b/>
          <w:bCs/>
          <w:color w:val="000000" w:themeColor="text1"/>
          <w:sz w:val="24"/>
          <w:szCs w:val="24"/>
          <w:highlight w:val="none"/>
          <w:lang w:val="en-US" w:eastAsia="zh-CN"/>
        </w:rPr>
        <w:t>标识牌</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3.1.1产品的生产、制造等各项技术标准必须达到现行国家、行业最新的货物、质量、技术、安全及环保等检验验收标准。</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3.1.1.1使用警示牌、标志等，符合《图形符号安全色和安全标志》GB/T2893-2020标准。</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3.1.2职业病危害警示告知牌符合《工作场所职业病危害警示标识》GBZ158-2003要求。</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3.1.2.1应保证货物为全新、未使用的符合国家质量标准的合格品,报价方应保证其提供的产品在正确安装、正常使用和保养条件下,在规定的使用寿命期内具有满意的性能。</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3.1.3交付的产品不应存在瑕疵或缺陷。对短期检验难以发现的隐蔽瑕疵，甲方享有在质保期届满前向乙方提出质量异议的权利。乙方对存在质量问题的产品，应予以免费修复、退换或者重做；如乙方不履行上述修复、退换、重做义务的，将按合同款5%给予扣款。</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3.1.4因质量问题无法正常使用，乙方应予以免费退换或者重做，拒不重做的将按合同款5%给予扣款。</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3.1.5所供不合格产品或产品安装不合格的给甲方造成的损失，须赔偿甲方损失，并按合同款5%给予扣款。</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3.1.6标识系统必须保证安装牢固，拆装方便。所有标识牌系统的安装挂件、螺栓均应镀锌防腐处理。所有标识系统的安装，需与其它设施密切配合，不留隐患。</w:t>
      </w:r>
    </w:p>
    <w:p>
      <w:pPr>
        <w:keepNext w:val="0"/>
        <w:keepLines w:val="0"/>
        <w:pageBreakBefore w:val="0"/>
        <w:widowControl w:val="0"/>
        <w:kinsoku/>
        <w:wordWrap/>
        <w:overflowPunct/>
        <w:topLinePunct w:val="0"/>
        <w:bidi w:val="0"/>
        <w:spacing w:line="560" w:lineRule="exact"/>
        <w:ind w:left="0" w:leftChars="0" w:firstLine="480" w:firstLineChars="200"/>
        <w:textAlignment w:val="auto"/>
        <w:rPr>
          <w:rFonts w:hint="eastAsia" w:ascii="宋体" w:hAnsi="宋体" w:eastAsia="宋体" w:cs="Times New Roman"/>
          <w:sz w:val="24"/>
          <w:lang w:val="en-US" w:eastAsia="zh-CN"/>
        </w:rPr>
      </w:pPr>
      <w:bookmarkStart w:id="22" w:name="_GoBack"/>
      <w:bookmarkEnd w:id="22"/>
      <w:r>
        <w:rPr>
          <w:rFonts w:hint="eastAsia" w:ascii="微软雅黑" w:hAnsi="微软雅黑" w:eastAsia="微软雅黑" w:cs="微软雅黑"/>
          <w:b/>
          <w:bCs/>
          <w:color w:val="000000" w:themeColor="text1"/>
          <w:kern w:val="2"/>
          <w:sz w:val="24"/>
          <w:szCs w:val="24"/>
          <w:highlight w:val="none"/>
          <w:lang w:val="en-US" w:eastAsia="zh-CN" w:bidi="ar-SA"/>
        </w:rPr>
        <w:t xml:space="preserve">3.2 </w:t>
      </w:r>
      <w:r>
        <w:rPr>
          <w:rFonts w:hint="eastAsia" w:ascii="微软雅黑" w:hAnsi="微软雅黑" w:eastAsia="微软雅黑" w:cs="微软雅黑"/>
          <w:b/>
          <w:bCs/>
          <w:color w:val="000000" w:themeColor="text1"/>
          <w:sz w:val="24"/>
          <w:szCs w:val="24"/>
          <w:highlight w:val="none"/>
          <w:lang w:val="en-US" w:eastAsia="zh-CN"/>
        </w:rPr>
        <w:t>广宣物料</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PVC材料应能保持原有使用效果12个月；</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亚克力版应能保持原有使用效果12个月；</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铝标牌应能保持原有使用效果12个月；</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铝塑板应能保持原有使用效果12个月；</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PVC烤漆字应能保持原有使用效果3年；</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不锈钢展架、水牌使用年限应不少于3年。</w:t>
      </w:r>
    </w:p>
    <w:p>
      <w:pPr>
        <w:keepNext w:val="0"/>
        <w:keepLines w:val="0"/>
        <w:pageBreakBefore w:val="0"/>
        <w:widowControl w:val="0"/>
        <w:kinsoku/>
        <w:wordWrap/>
        <w:overflowPunct/>
        <w:topLinePunct w:val="0"/>
        <w:bidi w:val="0"/>
        <w:spacing w:line="560" w:lineRule="exact"/>
        <w:ind w:left="0" w:leftChars="0" w:firstLine="480" w:firstLineChars="200"/>
        <w:textAlignment w:val="auto"/>
        <w:rPr>
          <w:rFonts w:hint="eastAsia" w:ascii="微软雅黑" w:hAnsi="微软雅黑" w:eastAsia="微软雅黑" w:cs="微软雅黑"/>
          <w:b/>
          <w:bCs/>
          <w:color w:val="000000" w:themeColor="text1"/>
          <w:sz w:val="24"/>
          <w:szCs w:val="24"/>
          <w:highlight w:val="none"/>
          <w:lang w:val="en-US" w:eastAsia="zh-CN"/>
        </w:rPr>
      </w:pPr>
      <w:r>
        <w:rPr>
          <w:rFonts w:hint="eastAsia" w:ascii="微软雅黑" w:hAnsi="微软雅黑" w:eastAsia="微软雅黑" w:cs="微软雅黑"/>
          <w:b/>
          <w:bCs/>
          <w:color w:val="000000" w:themeColor="text1"/>
          <w:sz w:val="24"/>
          <w:szCs w:val="24"/>
          <w:highlight w:val="none"/>
          <w:lang w:val="en-US" w:eastAsia="zh-CN"/>
        </w:rPr>
        <w:t>3.2.2 室内广宣物料</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PVC材料应能保持原有使用效果3年；</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亚克力版应能保持原有使用效果3年；</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不锈钢展架、水牌使用年限应不少于5年；</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PVC烤漆字应能保持原有使用效果5年；</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铝标牌应能保持原有使用效果5年；</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铝塑板应能保持原有使用效果5年。</w:t>
      </w:r>
    </w:p>
    <w:p>
      <w:pPr>
        <w:keepNext w:val="0"/>
        <w:keepLines w:val="0"/>
        <w:pageBreakBefore w:val="0"/>
        <w:widowControl w:val="0"/>
        <w:kinsoku/>
        <w:wordWrap/>
        <w:overflowPunct/>
        <w:topLinePunct w:val="0"/>
        <w:bidi w:val="0"/>
        <w:spacing w:line="560" w:lineRule="exact"/>
        <w:ind w:left="0" w:leftChars="0" w:firstLine="472" w:firstLineChars="200"/>
        <w:textAlignment w:val="auto"/>
        <w:rPr>
          <w:rFonts w:hint="eastAsia" w:ascii="微软雅黑" w:hAnsi="微软雅黑" w:eastAsia="微软雅黑" w:cs="微软雅黑"/>
          <w:b/>
          <w:bCs/>
          <w:color w:val="000000" w:themeColor="text1"/>
          <w:spacing w:val="-2"/>
          <w:sz w:val="24"/>
          <w:szCs w:val="24"/>
          <w:highlight w:val="none"/>
          <w:lang w:val="en-US" w:eastAsia="zh-CN"/>
        </w:rPr>
      </w:pPr>
      <w:r>
        <w:rPr>
          <w:rFonts w:hint="eastAsia" w:ascii="微软雅黑" w:hAnsi="微软雅黑" w:eastAsia="微软雅黑" w:cs="微软雅黑"/>
          <w:b/>
          <w:bCs/>
          <w:color w:val="000000" w:themeColor="text1"/>
          <w:spacing w:val="-2"/>
          <w:sz w:val="24"/>
          <w:szCs w:val="24"/>
          <w:highlight w:val="none"/>
          <w:lang w:val="en-US" w:eastAsia="zh-CN"/>
        </w:rPr>
        <w:t>4.安装要求</w:t>
      </w:r>
    </w:p>
    <w:p>
      <w:pPr>
        <w:keepNext w:val="0"/>
        <w:keepLines w:val="0"/>
        <w:pageBreakBefore w:val="0"/>
        <w:widowControl w:val="0"/>
        <w:kinsoku/>
        <w:wordWrap/>
        <w:overflowPunct/>
        <w:topLinePunct w:val="0"/>
        <w:bidi w:val="0"/>
        <w:spacing w:line="56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color w:val="000000" w:themeColor="text1"/>
          <w:kern w:val="2"/>
          <w:sz w:val="24"/>
          <w:szCs w:val="24"/>
          <w:highlight w:val="none"/>
          <w:lang w:val="en-US" w:eastAsia="zh-CN" w:bidi="ar-SA"/>
        </w:rPr>
        <w:t xml:space="preserve">4.1 </w:t>
      </w:r>
      <w:r>
        <w:rPr>
          <w:rFonts w:hint="eastAsia" w:ascii="微软雅黑" w:hAnsi="微软雅黑" w:eastAsia="微软雅黑" w:cs="微软雅黑"/>
          <w:b/>
          <w:bCs/>
          <w:color w:val="000000" w:themeColor="text1"/>
          <w:sz w:val="24"/>
          <w:szCs w:val="24"/>
          <w:highlight w:val="none"/>
          <w:lang w:val="en-US" w:eastAsia="zh-CN"/>
        </w:rPr>
        <w:t>标识牌</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4.1.1 使用的警示标识，根据《图形符号安全色和安全标志》GB/T2893.5-2020标准进行安装。</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4.1.2根据现场实际使用需求，在指定位置安装对应的警示标识。</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4.1.3需要安装的货物，必须派技术人员到现场安装并检查安装质量。</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4.1.4应负责现场安装人员的安全管理并提供安装中全部所需的工具。</w:t>
      </w:r>
    </w:p>
    <w:p>
      <w:pPr>
        <w:pStyle w:val="46"/>
        <w:keepNext w:val="0"/>
        <w:keepLines w:val="0"/>
        <w:pageBreakBefore w:val="0"/>
        <w:widowControl w:val="0"/>
        <w:numPr>
          <w:ilvl w:val="0"/>
          <w:numId w:val="0"/>
        </w:numPr>
        <w:kinsoku/>
        <w:wordWrap/>
        <w:overflowPunct/>
        <w:topLinePunct w:val="0"/>
        <w:bidi w:val="0"/>
        <w:spacing w:line="560" w:lineRule="exact"/>
        <w:ind w:left="0" w:leftChars="0" w:firstLine="480" w:firstLineChars="200"/>
        <w:textAlignment w:val="auto"/>
        <w:rPr>
          <w:rFonts w:hint="eastAsia" w:ascii="微软雅黑" w:hAnsi="微软雅黑" w:eastAsia="微软雅黑" w:cs="微软雅黑"/>
          <w:b/>
          <w:bCs/>
          <w:color w:val="000000" w:themeColor="text1"/>
          <w:sz w:val="24"/>
          <w:szCs w:val="24"/>
          <w:highlight w:val="none"/>
          <w:lang w:val="en-US" w:eastAsia="zh-CN"/>
        </w:rPr>
      </w:pPr>
      <w:r>
        <w:rPr>
          <w:rFonts w:hint="eastAsia" w:ascii="微软雅黑" w:hAnsi="微软雅黑" w:eastAsia="微软雅黑" w:cs="微软雅黑"/>
          <w:b/>
          <w:bCs/>
          <w:color w:val="000000" w:themeColor="text1"/>
          <w:sz w:val="24"/>
          <w:szCs w:val="24"/>
          <w:highlight w:val="none"/>
          <w:lang w:val="en-US" w:eastAsia="zh-CN"/>
        </w:rPr>
        <w:t>5.进度要求</w:t>
      </w:r>
    </w:p>
    <w:p>
      <w:pPr>
        <w:keepNext w:val="0"/>
        <w:keepLines w:val="0"/>
        <w:pageBreakBefore w:val="0"/>
        <w:widowControl w:val="0"/>
        <w:kinsoku/>
        <w:wordWrap/>
        <w:overflowPunct/>
        <w:topLinePunct w:val="0"/>
        <w:bidi w:val="0"/>
        <w:spacing w:line="560" w:lineRule="exact"/>
        <w:ind w:firstLine="480" w:firstLineChars="200"/>
        <w:textAlignment w:val="auto"/>
        <w:rPr>
          <w:rFonts w:hint="eastAsia" w:ascii="微软雅黑" w:hAnsi="微软雅黑" w:eastAsia="微软雅黑" w:cs="微软雅黑"/>
          <w:color w:val="000000" w:themeColor="text1"/>
          <w:sz w:val="24"/>
          <w:szCs w:val="24"/>
          <w:highlight w:val="none"/>
          <w:lang w:val="en-US" w:eastAsia="zh-CN"/>
        </w:rPr>
      </w:pPr>
      <w:r>
        <w:rPr>
          <w:rFonts w:hint="eastAsia" w:ascii="微软雅黑" w:hAnsi="微软雅黑" w:eastAsia="微软雅黑" w:cs="微软雅黑"/>
          <w:b/>
          <w:bCs/>
          <w:color w:val="000000" w:themeColor="text1"/>
          <w:kern w:val="2"/>
          <w:sz w:val="24"/>
          <w:szCs w:val="24"/>
          <w:highlight w:val="none"/>
          <w:lang w:val="en-US" w:eastAsia="zh-CN" w:bidi="ar-SA"/>
        </w:rPr>
        <w:t xml:space="preserve">5.1 </w:t>
      </w:r>
      <w:r>
        <w:rPr>
          <w:rFonts w:hint="eastAsia" w:ascii="微软雅黑" w:hAnsi="微软雅黑" w:eastAsia="微软雅黑" w:cs="微软雅黑"/>
          <w:b/>
          <w:bCs/>
          <w:color w:val="000000" w:themeColor="text1"/>
          <w:sz w:val="24"/>
          <w:szCs w:val="24"/>
          <w:highlight w:val="none"/>
          <w:lang w:val="en-US" w:eastAsia="zh-CN"/>
        </w:rPr>
        <w:t>标识牌</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5.1.1交货日期：合同生效后收到甲方需求订单10日内。</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5.1.2交货地点：甲方仓库内或者甲方指定地点。</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5.1.3交货时间：由供方全部配送到需方仓库，含运输，并根据本技术条件规定的标准进行验收，合格后交货。     </w:t>
      </w:r>
    </w:p>
    <w:p>
      <w:pPr>
        <w:keepNext w:val="0"/>
        <w:keepLines w:val="0"/>
        <w:pageBreakBefore w:val="0"/>
        <w:widowControl w:val="0"/>
        <w:numPr>
          <w:numId w:val="0"/>
        </w:numPr>
        <w:kinsoku/>
        <w:wordWrap/>
        <w:overflowPunct/>
        <w:topLinePunct w:val="0"/>
        <w:bidi w:val="0"/>
        <w:spacing w:line="560" w:lineRule="exact"/>
        <w:ind w:leftChars="0" w:firstLine="482" w:firstLineChars="200"/>
        <w:textAlignment w:val="auto"/>
        <w:outlineLvl w:val="0"/>
        <w:rPr>
          <w:b/>
          <w:bCs/>
          <w:color w:val="000000"/>
          <w:sz w:val="24"/>
        </w:rPr>
      </w:pPr>
      <w:bookmarkStart w:id="13" w:name="_Toc32557"/>
      <w:r>
        <w:rPr>
          <w:rFonts w:hint="eastAsia"/>
          <w:b/>
          <w:bCs/>
          <w:color w:val="000000"/>
          <w:sz w:val="24"/>
          <w:lang w:val="en-US" w:eastAsia="zh-CN"/>
        </w:rPr>
        <w:t>6.</w:t>
      </w:r>
      <w:r>
        <w:rPr>
          <w:rFonts w:hint="eastAsia"/>
          <w:b/>
          <w:bCs/>
          <w:color w:val="000000"/>
          <w:sz w:val="24"/>
          <w:lang w:eastAsia="zh-CN"/>
        </w:rPr>
        <w:t>工作</w:t>
      </w:r>
      <w:r>
        <w:rPr>
          <w:rFonts w:hint="eastAsia"/>
          <w:b/>
          <w:bCs/>
          <w:color w:val="000000"/>
          <w:sz w:val="24"/>
        </w:rPr>
        <w:t>要求</w:t>
      </w:r>
      <w:bookmarkEnd w:id="11"/>
      <w:bookmarkEnd w:id="12"/>
      <w:bookmarkEnd w:id="13"/>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sz w:val="24"/>
          <w:lang w:val="en-US" w:eastAsia="zh-CN"/>
        </w:rPr>
      </w:pPr>
      <w:bookmarkStart w:id="14" w:name="_Toc322595524"/>
      <w:bookmarkStart w:id="15" w:name="_Toc358014866"/>
      <w:bookmarkStart w:id="16" w:name="_Toc322501712"/>
      <w:r>
        <w:rPr>
          <w:rFonts w:hint="eastAsia" w:ascii="宋体" w:hAnsi="宋体"/>
          <w:sz w:val="24"/>
          <w:lang w:val="en-US" w:eastAsia="zh-CN"/>
        </w:rPr>
        <w:t>6.1作业期间必须保证安全操作，人身安全，禁止进入职工私人区域。</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cs="Times New Roman"/>
          <w:sz w:val="24"/>
          <w:lang w:val="en-US" w:eastAsia="zh-CN"/>
        </w:rPr>
      </w:pPr>
      <w:r>
        <w:rPr>
          <w:rFonts w:hint="eastAsia" w:ascii="宋体" w:hAnsi="宋体"/>
          <w:sz w:val="24"/>
          <w:lang w:val="en-US" w:eastAsia="zh-CN"/>
        </w:rPr>
        <w:t>6.2委托方必须为此项作业保密。</w:t>
      </w:r>
    </w:p>
    <w:p>
      <w:pPr>
        <w:keepNext w:val="0"/>
        <w:keepLines w:val="0"/>
        <w:pageBreakBefore w:val="0"/>
        <w:widowControl w:val="0"/>
        <w:numPr>
          <w:ilvl w:val="0"/>
          <w:numId w:val="0"/>
        </w:numPr>
        <w:kinsoku/>
        <w:wordWrap/>
        <w:overflowPunct/>
        <w:topLinePunct w:val="0"/>
        <w:bidi w:val="0"/>
        <w:spacing w:line="560" w:lineRule="exact"/>
        <w:ind w:leftChars="0" w:firstLine="482" w:firstLineChars="200"/>
        <w:textAlignment w:val="auto"/>
        <w:outlineLvl w:val="0"/>
        <w:rPr>
          <w:rFonts w:hint="eastAsia" w:ascii="Times New Roman" w:hAnsi="Times New Roman" w:eastAsia="宋体" w:cs="Times New Roman"/>
          <w:b/>
          <w:bCs/>
          <w:color w:val="000000"/>
          <w:sz w:val="24"/>
          <w:lang w:eastAsia="zh-CN"/>
        </w:rPr>
      </w:pPr>
      <w:bookmarkStart w:id="17" w:name="_Toc14317"/>
      <w:r>
        <w:rPr>
          <w:rFonts w:hint="eastAsia" w:ascii="Times New Roman" w:hAnsi="Times New Roman" w:eastAsia="宋体" w:cs="Times New Roman"/>
          <w:b/>
          <w:bCs/>
          <w:color w:val="000000"/>
          <w:sz w:val="24"/>
          <w:lang w:val="en-US" w:eastAsia="zh-CN"/>
        </w:rPr>
        <w:t>7.</w:t>
      </w:r>
      <w:r>
        <w:rPr>
          <w:rFonts w:hint="eastAsia" w:ascii="Times New Roman" w:hAnsi="Times New Roman" w:eastAsia="宋体" w:cs="Times New Roman"/>
          <w:b/>
          <w:bCs/>
          <w:color w:val="000000"/>
          <w:sz w:val="24"/>
          <w:lang w:eastAsia="zh-CN"/>
        </w:rPr>
        <w:t>安全约定</w:t>
      </w:r>
      <w:bookmarkEnd w:id="17"/>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cs="Times New Roman"/>
          <w:sz w:val="24"/>
          <w:lang w:val="en-US" w:eastAsia="zh-CN"/>
        </w:rPr>
      </w:pPr>
      <w:bookmarkStart w:id="18" w:name="_Toc23920"/>
      <w:r>
        <w:rPr>
          <w:rFonts w:hint="eastAsia" w:cs="Times New Roman" w:asciiTheme="minorEastAsia" w:hAnsiTheme="minorEastAsia" w:eastAsiaTheme="minorEastAsia"/>
          <w:kern w:val="2"/>
          <w:sz w:val="24"/>
          <w:szCs w:val="24"/>
          <w:u w:val="none"/>
          <w:shd w:val="clear"/>
          <w:lang w:val="en-US" w:eastAsia="zh-CN" w:bidi="ar-SA"/>
        </w:rPr>
        <w:t>7.1投标方到招标方厂区现场开展资料收集时必须遵守招标方安全生产管理制度及相关规定，并</w:t>
      </w:r>
      <w:r>
        <w:rPr>
          <w:rFonts w:hint="eastAsia" w:ascii="宋体" w:hAnsi="宋体" w:cs="Times New Roman"/>
          <w:sz w:val="24"/>
          <w:lang w:val="en-US" w:eastAsia="zh-CN"/>
        </w:rPr>
        <w:t>服从招标方人员的指挥；</w:t>
      </w:r>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cs="Times New Roman"/>
          <w:sz w:val="24"/>
          <w:lang w:val="en-US" w:eastAsia="zh-CN"/>
        </w:rPr>
      </w:pPr>
      <w:r>
        <w:rPr>
          <w:rFonts w:hint="eastAsia" w:ascii="宋体" w:hAnsi="宋体" w:cs="Times New Roman"/>
          <w:sz w:val="24"/>
          <w:lang w:val="en-US" w:eastAsia="zh-CN"/>
        </w:rPr>
        <w:t>7.2投标方人员在招标方厂区内，不得私自离开固定的场所，未经允许不得进入生产区及其无关区域。</w:t>
      </w:r>
    </w:p>
    <w:p>
      <w:pPr>
        <w:keepNext w:val="0"/>
        <w:keepLines w:val="0"/>
        <w:pageBreakBefore w:val="0"/>
        <w:widowControl w:val="0"/>
        <w:kinsoku/>
        <w:wordWrap/>
        <w:overflowPunct/>
        <w:topLinePunct w:val="0"/>
        <w:bidi w:val="0"/>
        <w:spacing w:line="560" w:lineRule="exact"/>
        <w:ind w:firstLine="482" w:firstLineChars="200"/>
        <w:textAlignment w:val="auto"/>
        <w:outlineLvl w:val="0"/>
        <w:rPr>
          <w:b/>
          <w:bCs/>
          <w:color w:val="000000"/>
          <w:sz w:val="24"/>
        </w:rPr>
      </w:pPr>
      <w:r>
        <w:rPr>
          <w:rFonts w:hint="eastAsia"/>
          <w:b/>
          <w:bCs/>
          <w:color w:val="000000"/>
          <w:sz w:val="24"/>
          <w:lang w:val="en-US" w:eastAsia="zh-CN"/>
        </w:rPr>
        <w:t>8.</w:t>
      </w:r>
      <w:r>
        <w:rPr>
          <w:b/>
          <w:bCs/>
          <w:color w:val="000000"/>
          <w:sz w:val="24"/>
        </w:rPr>
        <w:t>其它说明</w:t>
      </w:r>
      <w:bookmarkEnd w:id="14"/>
      <w:bookmarkEnd w:id="15"/>
      <w:bookmarkEnd w:id="16"/>
      <w:bookmarkEnd w:id="18"/>
    </w:p>
    <w:p>
      <w:pPr>
        <w:keepNext w:val="0"/>
        <w:keepLines w:val="0"/>
        <w:pageBreakBefore w:val="0"/>
        <w:widowControl w:val="0"/>
        <w:tabs>
          <w:tab w:val="left" w:pos="1320"/>
        </w:tabs>
        <w:kinsoku/>
        <w:wordWrap/>
        <w:overflowPunct/>
        <w:topLinePunct w:val="0"/>
        <w:bidi w:val="0"/>
        <w:snapToGrid w:val="0"/>
        <w:spacing w:before="156" w:beforeLines="50" w:after="156" w:afterLines="50" w:line="560" w:lineRule="exact"/>
        <w:ind w:firstLine="480" w:firstLineChars="200"/>
        <w:textAlignment w:val="auto"/>
        <w:rPr>
          <w:rFonts w:hint="eastAsia" w:ascii="宋体" w:hAnsi="宋体" w:eastAsia="宋体" w:cs="Times New Roman"/>
          <w:sz w:val="24"/>
          <w:lang w:val="en-US" w:eastAsia="zh-CN"/>
        </w:rPr>
      </w:pPr>
      <w:bookmarkStart w:id="19" w:name="_Toc322614016"/>
      <w:bookmarkStart w:id="20" w:name="_Toc322595525"/>
      <w:bookmarkStart w:id="21" w:name="_Toc322596900"/>
      <w:r>
        <w:rPr>
          <w:rFonts w:hint="eastAsia" w:ascii="宋体" w:hAnsi="宋体" w:eastAsia="宋体" w:cs="Times New Roman"/>
          <w:sz w:val="24"/>
          <w:lang w:val="en-US" w:eastAsia="zh-CN"/>
        </w:rPr>
        <w:t>8.1未尽事宜，双方协商解决。</w:t>
      </w:r>
      <w:bookmarkEnd w:id="19"/>
      <w:bookmarkEnd w:id="20"/>
      <w:bookmarkEnd w:id="21"/>
    </w:p>
    <w:sectPr>
      <w:headerReference r:id="rId3" w:type="default"/>
      <w:footerReference r:id="rId4" w:type="default"/>
      <w:footerReference r:id="rId5" w:type="even"/>
      <w:pgSz w:w="11907" w:h="16840"/>
      <w:pgMar w:top="1134" w:right="1134" w:bottom="970" w:left="1134" w:header="777" w:footer="907" w:gutter="0"/>
      <w:pgBorders w:offsetFrom="page">
        <w:top w:val="single" w:color="auto" w:sz="4" w:space="24"/>
        <w:left w:val="single" w:color="auto" w:sz="4" w:space="24"/>
        <w:bottom w:val="single" w:color="auto" w:sz="4" w:space="24"/>
        <w:right w:val="single" w:color="auto" w:sz="4" w:space="24"/>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6" w:space="2"/>
      </w:pBdr>
      <w:tabs>
        <w:tab w:val="center" w:pos="7200"/>
        <w:tab w:val="left" w:pos="7920"/>
        <w:tab w:val="clear" w:pos="4153"/>
        <w:tab w:val="clear" w:pos="8306"/>
      </w:tabs>
      <w:ind w:right="-204" w:rightChars="-97"/>
      <w:rPr>
        <w:rFonts w:ascii="宋体" w:hAnsi="宋体"/>
        <w:sz w:val="24"/>
        <w:szCs w:val="24"/>
      </w:rPr>
    </w:pPr>
    <w:r>
      <w:rPr>
        <w:rFonts w:hint="eastAsia"/>
        <w:bCs/>
        <w:spacing w:val="2"/>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126C0"/>
    <w:multiLevelType w:val="multilevel"/>
    <w:tmpl w:val="6B1126C0"/>
    <w:lvl w:ilvl="0" w:tentative="0">
      <w:start w:val="4"/>
      <w:numFmt w:val="decimal"/>
      <w:lvlText w:val="%1."/>
      <w:lvlJc w:val="left"/>
      <w:pPr>
        <w:tabs>
          <w:tab w:val="left" w:pos="0"/>
        </w:tabs>
        <w:ind w:left="425" w:hanging="425"/>
      </w:pPr>
      <w:rPr>
        <w:rFonts w:hint="eastAsia"/>
      </w:rPr>
    </w:lvl>
    <w:lvl w:ilvl="1" w:tentative="0">
      <w:start w:val="1"/>
      <w:numFmt w:val="decimal"/>
      <w:pStyle w:val="6"/>
      <w:lvlText w:val="6.%2."/>
      <w:lvlJc w:val="left"/>
      <w:pPr>
        <w:tabs>
          <w:tab w:val="left" w:pos="567"/>
        </w:tabs>
        <w:ind w:left="567" w:hanging="567"/>
      </w:pPr>
      <w:rPr>
        <w:rFonts w:hint="eastAsia"/>
        <w:b/>
        <w:i w:val="0"/>
        <w:color w:val="0000FF"/>
        <w:sz w:val="28"/>
        <w:szCs w:val="28"/>
      </w:rPr>
    </w:lvl>
    <w:lvl w:ilvl="2" w:tentative="0">
      <w:start w:val="3"/>
      <w:numFmt w:val="none"/>
      <w:lvlRestart w:val="0"/>
      <w:lvlText w:val=""/>
      <w:lvlJc w:val="left"/>
      <w:pPr>
        <w:tabs>
          <w:tab w:val="left" w:pos="709"/>
        </w:tabs>
        <w:ind w:left="709" w:hanging="709"/>
      </w:pPr>
      <w:rPr>
        <w:rFonts w:hint="eastAsia"/>
        <w:b/>
        <w:i w:val="0"/>
        <w:color w:val="0000FF"/>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GM1MjQ4ZDM3NDlmZjlkYjJhMWRjMTI4OTFiZjNkNzUifQ=="/>
  </w:docVars>
  <w:rsids>
    <w:rsidRoot w:val="00C4183A"/>
    <w:rsid w:val="000007CB"/>
    <w:rsid w:val="00000AAD"/>
    <w:rsid w:val="00001F63"/>
    <w:rsid w:val="000027F6"/>
    <w:rsid w:val="0000318C"/>
    <w:rsid w:val="00004E70"/>
    <w:rsid w:val="00005D34"/>
    <w:rsid w:val="00006587"/>
    <w:rsid w:val="00006CE9"/>
    <w:rsid w:val="00007EED"/>
    <w:rsid w:val="00010695"/>
    <w:rsid w:val="00015096"/>
    <w:rsid w:val="00017D8F"/>
    <w:rsid w:val="00021717"/>
    <w:rsid w:val="00022287"/>
    <w:rsid w:val="00023EC7"/>
    <w:rsid w:val="00025DEE"/>
    <w:rsid w:val="0002640B"/>
    <w:rsid w:val="00026890"/>
    <w:rsid w:val="00026B5F"/>
    <w:rsid w:val="0003046F"/>
    <w:rsid w:val="00030AEB"/>
    <w:rsid w:val="000312EA"/>
    <w:rsid w:val="00032783"/>
    <w:rsid w:val="00034EFD"/>
    <w:rsid w:val="000376A8"/>
    <w:rsid w:val="00037863"/>
    <w:rsid w:val="00040F4C"/>
    <w:rsid w:val="000417E3"/>
    <w:rsid w:val="00041C9A"/>
    <w:rsid w:val="00044736"/>
    <w:rsid w:val="00045758"/>
    <w:rsid w:val="00047605"/>
    <w:rsid w:val="0005057D"/>
    <w:rsid w:val="00051767"/>
    <w:rsid w:val="00053388"/>
    <w:rsid w:val="00054473"/>
    <w:rsid w:val="00054945"/>
    <w:rsid w:val="00055360"/>
    <w:rsid w:val="000557A2"/>
    <w:rsid w:val="00056AB4"/>
    <w:rsid w:val="0006007A"/>
    <w:rsid w:val="00063092"/>
    <w:rsid w:val="00063CF5"/>
    <w:rsid w:val="00063FE1"/>
    <w:rsid w:val="00064209"/>
    <w:rsid w:val="0006448D"/>
    <w:rsid w:val="00065471"/>
    <w:rsid w:val="00065558"/>
    <w:rsid w:val="00065B90"/>
    <w:rsid w:val="0006719D"/>
    <w:rsid w:val="00067EED"/>
    <w:rsid w:val="0007203D"/>
    <w:rsid w:val="0007344F"/>
    <w:rsid w:val="000737BD"/>
    <w:rsid w:val="0007507D"/>
    <w:rsid w:val="000759EC"/>
    <w:rsid w:val="00077AFA"/>
    <w:rsid w:val="00077C26"/>
    <w:rsid w:val="000820AB"/>
    <w:rsid w:val="0008254B"/>
    <w:rsid w:val="00084053"/>
    <w:rsid w:val="00087186"/>
    <w:rsid w:val="0009059F"/>
    <w:rsid w:val="00091B61"/>
    <w:rsid w:val="00091B72"/>
    <w:rsid w:val="0009233B"/>
    <w:rsid w:val="000928BF"/>
    <w:rsid w:val="000945ED"/>
    <w:rsid w:val="00094945"/>
    <w:rsid w:val="00095405"/>
    <w:rsid w:val="00097BEE"/>
    <w:rsid w:val="000A2015"/>
    <w:rsid w:val="000A20A5"/>
    <w:rsid w:val="000A42CA"/>
    <w:rsid w:val="000A490A"/>
    <w:rsid w:val="000A5323"/>
    <w:rsid w:val="000A5A7B"/>
    <w:rsid w:val="000A5F04"/>
    <w:rsid w:val="000A7B8E"/>
    <w:rsid w:val="000B0D88"/>
    <w:rsid w:val="000B2287"/>
    <w:rsid w:val="000B266A"/>
    <w:rsid w:val="000B5E30"/>
    <w:rsid w:val="000C0B84"/>
    <w:rsid w:val="000C3482"/>
    <w:rsid w:val="000C4912"/>
    <w:rsid w:val="000C4F8A"/>
    <w:rsid w:val="000C530A"/>
    <w:rsid w:val="000C72B7"/>
    <w:rsid w:val="000D10B0"/>
    <w:rsid w:val="000D3013"/>
    <w:rsid w:val="000E15E3"/>
    <w:rsid w:val="000E1DCA"/>
    <w:rsid w:val="000E3209"/>
    <w:rsid w:val="000E4EF3"/>
    <w:rsid w:val="000E7293"/>
    <w:rsid w:val="000F1CDB"/>
    <w:rsid w:val="000F1D98"/>
    <w:rsid w:val="000F60C3"/>
    <w:rsid w:val="000F6BC8"/>
    <w:rsid w:val="000F73FA"/>
    <w:rsid w:val="000F7D9E"/>
    <w:rsid w:val="001014E7"/>
    <w:rsid w:val="0010327C"/>
    <w:rsid w:val="00104DE7"/>
    <w:rsid w:val="00105533"/>
    <w:rsid w:val="0010638B"/>
    <w:rsid w:val="001104E4"/>
    <w:rsid w:val="00111F91"/>
    <w:rsid w:val="00112F1E"/>
    <w:rsid w:val="001149F6"/>
    <w:rsid w:val="0011631B"/>
    <w:rsid w:val="0012103A"/>
    <w:rsid w:val="001222C7"/>
    <w:rsid w:val="00122B6F"/>
    <w:rsid w:val="0012492A"/>
    <w:rsid w:val="00124FCB"/>
    <w:rsid w:val="001260E5"/>
    <w:rsid w:val="0012622C"/>
    <w:rsid w:val="0012695C"/>
    <w:rsid w:val="00127DC0"/>
    <w:rsid w:val="00130A1F"/>
    <w:rsid w:val="001351CA"/>
    <w:rsid w:val="00135A76"/>
    <w:rsid w:val="00135C09"/>
    <w:rsid w:val="00140CA5"/>
    <w:rsid w:val="00141BA4"/>
    <w:rsid w:val="00144850"/>
    <w:rsid w:val="001469FF"/>
    <w:rsid w:val="00147051"/>
    <w:rsid w:val="00147222"/>
    <w:rsid w:val="001474DA"/>
    <w:rsid w:val="001538E2"/>
    <w:rsid w:val="00155E33"/>
    <w:rsid w:val="00155EB1"/>
    <w:rsid w:val="0015636F"/>
    <w:rsid w:val="001571FF"/>
    <w:rsid w:val="00163D2E"/>
    <w:rsid w:val="00164903"/>
    <w:rsid w:val="0016701E"/>
    <w:rsid w:val="00167BA4"/>
    <w:rsid w:val="0017090F"/>
    <w:rsid w:val="001710E3"/>
    <w:rsid w:val="001716E3"/>
    <w:rsid w:val="001736DE"/>
    <w:rsid w:val="0017768A"/>
    <w:rsid w:val="001779C7"/>
    <w:rsid w:val="00177DC5"/>
    <w:rsid w:val="001810B7"/>
    <w:rsid w:val="001814F2"/>
    <w:rsid w:val="00185001"/>
    <w:rsid w:val="00185A05"/>
    <w:rsid w:val="001867A9"/>
    <w:rsid w:val="00186F73"/>
    <w:rsid w:val="00190843"/>
    <w:rsid w:val="00193944"/>
    <w:rsid w:val="00193A31"/>
    <w:rsid w:val="001942E9"/>
    <w:rsid w:val="00194C40"/>
    <w:rsid w:val="001953F0"/>
    <w:rsid w:val="00196225"/>
    <w:rsid w:val="001976FE"/>
    <w:rsid w:val="00197D18"/>
    <w:rsid w:val="001A10DA"/>
    <w:rsid w:val="001A137D"/>
    <w:rsid w:val="001A3FCC"/>
    <w:rsid w:val="001A5482"/>
    <w:rsid w:val="001A57A6"/>
    <w:rsid w:val="001B15D8"/>
    <w:rsid w:val="001B52F1"/>
    <w:rsid w:val="001B593B"/>
    <w:rsid w:val="001B7517"/>
    <w:rsid w:val="001B75F6"/>
    <w:rsid w:val="001C3DFF"/>
    <w:rsid w:val="001C58FD"/>
    <w:rsid w:val="001D0CEE"/>
    <w:rsid w:val="001D151D"/>
    <w:rsid w:val="001D176C"/>
    <w:rsid w:val="001D1A8D"/>
    <w:rsid w:val="001D1C51"/>
    <w:rsid w:val="001D2F18"/>
    <w:rsid w:val="001D54AF"/>
    <w:rsid w:val="001D573D"/>
    <w:rsid w:val="001D6356"/>
    <w:rsid w:val="001D650A"/>
    <w:rsid w:val="001E03BA"/>
    <w:rsid w:val="001E0DA1"/>
    <w:rsid w:val="001E2321"/>
    <w:rsid w:val="001E29E2"/>
    <w:rsid w:val="001E3DD2"/>
    <w:rsid w:val="001E5333"/>
    <w:rsid w:val="001E5BB7"/>
    <w:rsid w:val="001F0C16"/>
    <w:rsid w:val="001F28D3"/>
    <w:rsid w:val="001F7955"/>
    <w:rsid w:val="00200BDF"/>
    <w:rsid w:val="00201CA8"/>
    <w:rsid w:val="00204F62"/>
    <w:rsid w:val="0020536D"/>
    <w:rsid w:val="002069DB"/>
    <w:rsid w:val="00207908"/>
    <w:rsid w:val="0021048D"/>
    <w:rsid w:val="002106A2"/>
    <w:rsid w:val="00210C51"/>
    <w:rsid w:val="002117FD"/>
    <w:rsid w:val="00212CBD"/>
    <w:rsid w:val="00213B31"/>
    <w:rsid w:val="00213B3A"/>
    <w:rsid w:val="0021750B"/>
    <w:rsid w:val="002200D0"/>
    <w:rsid w:val="002207A4"/>
    <w:rsid w:val="00221268"/>
    <w:rsid w:val="00221602"/>
    <w:rsid w:val="00221B25"/>
    <w:rsid w:val="00223C29"/>
    <w:rsid w:val="00224320"/>
    <w:rsid w:val="00226D09"/>
    <w:rsid w:val="002270D1"/>
    <w:rsid w:val="00227C93"/>
    <w:rsid w:val="00227CCB"/>
    <w:rsid w:val="0023076B"/>
    <w:rsid w:val="00231782"/>
    <w:rsid w:val="00231DE9"/>
    <w:rsid w:val="002320CE"/>
    <w:rsid w:val="00232EA1"/>
    <w:rsid w:val="002331C6"/>
    <w:rsid w:val="002405C4"/>
    <w:rsid w:val="002405EC"/>
    <w:rsid w:val="002423FB"/>
    <w:rsid w:val="00244312"/>
    <w:rsid w:val="00244BEB"/>
    <w:rsid w:val="00245211"/>
    <w:rsid w:val="00245278"/>
    <w:rsid w:val="002475B5"/>
    <w:rsid w:val="0025033A"/>
    <w:rsid w:val="002505E3"/>
    <w:rsid w:val="002517B8"/>
    <w:rsid w:val="00252874"/>
    <w:rsid w:val="00252DB5"/>
    <w:rsid w:val="00253449"/>
    <w:rsid w:val="00255E47"/>
    <w:rsid w:val="002568A8"/>
    <w:rsid w:val="00256FA7"/>
    <w:rsid w:val="00261392"/>
    <w:rsid w:val="00261B53"/>
    <w:rsid w:val="00261CDA"/>
    <w:rsid w:val="00262C71"/>
    <w:rsid w:val="002630C2"/>
    <w:rsid w:val="00265B9A"/>
    <w:rsid w:val="002667DA"/>
    <w:rsid w:val="00267AEF"/>
    <w:rsid w:val="00271765"/>
    <w:rsid w:val="00272FB4"/>
    <w:rsid w:val="0027479C"/>
    <w:rsid w:val="00274A3C"/>
    <w:rsid w:val="00274E1E"/>
    <w:rsid w:val="002772D5"/>
    <w:rsid w:val="00277B2E"/>
    <w:rsid w:val="00277D7C"/>
    <w:rsid w:val="002821BB"/>
    <w:rsid w:val="002824B2"/>
    <w:rsid w:val="002829B2"/>
    <w:rsid w:val="0028349A"/>
    <w:rsid w:val="00285DC6"/>
    <w:rsid w:val="00290877"/>
    <w:rsid w:val="0029099F"/>
    <w:rsid w:val="002919C5"/>
    <w:rsid w:val="0029210B"/>
    <w:rsid w:val="002926FA"/>
    <w:rsid w:val="00293EDA"/>
    <w:rsid w:val="00294764"/>
    <w:rsid w:val="00294DBD"/>
    <w:rsid w:val="00296D53"/>
    <w:rsid w:val="0029701B"/>
    <w:rsid w:val="0029753D"/>
    <w:rsid w:val="00297EDD"/>
    <w:rsid w:val="002A0254"/>
    <w:rsid w:val="002A041D"/>
    <w:rsid w:val="002A0D98"/>
    <w:rsid w:val="002A1989"/>
    <w:rsid w:val="002A1D0C"/>
    <w:rsid w:val="002A2768"/>
    <w:rsid w:val="002A2FDF"/>
    <w:rsid w:val="002A3E05"/>
    <w:rsid w:val="002A4189"/>
    <w:rsid w:val="002A4615"/>
    <w:rsid w:val="002A61EC"/>
    <w:rsid w:val="002A68EB"/>
    <w:rsid w:val="002B06DE"/>
    <w:rsid w:val="002B1BE9"/>
    <w:rsid w:val="002B26D1"/>
    <w:rsid w:val="002B3952"/>
    <w:rsid w:val="002C0B83"/>
    <w:rsid w:val="002C3842"/>
    <w:rsid w:val="002C39A3"/>
    <w:rsid w:val="002C5229"/>
    <w:rsid w:val="002C7D36"/>
    <w:rsid w:val="002D1155"/>
    <w:rsid w:val="002D4D35"/>
    <w:rsid w:val="002D4F07"/>
    <w:rsid w:val="002D5A87"/>
    <w:rsid w:val="002D7BFD"/>
    <w:rsid w:val="002E4861"/>
    <w:rsid w:val="002E5BEA"/>
    <w:rsid w:val="002E73FB"/>
    <w:rsid w:val="002F0601"/>
    <w:rsid w:val="002F17E8"/>
    <w:rsid w:val="002F1EB7"/>
    <w:rsid w:val="002F20DD"/>
    <w:rsid w:val="002F3683"/>
    <w:rsid w:val="002F4266"/>
    <w:rsid w:val="002F70E3"/>
    <w:rsid w:val="00300F44"/>
    <w:rsid w:val="003020E0"/>
    <w:rsid w:val="00303EC7"/>
    <w:rsid w:val="003050CB"/>
    <w:rsid w:val="003054E1"/>
    <w:rsid w:val="003079DB"/>
    <w:rsid w:val="00307C57"/>
    <w:rsid w:val="00310F3E"/>
    <w:rsid w:val="003158B1"/>
    <w:rsid w:val="00316C3D"/>
    <w:rsid w:val="00316FE2"/>
    <w:rsid w:val="003171DC"/>
    <w:rsid w:val="00317C91"/>
    <w:rsid w:val="0032131B"/>
    <w:rsid w:val="00321A66"/>
    <w:rsid w:val="00321B2D"/>
    <w:rsid w:val="00322C01"/>
    <w:rsid w:val="00323682"/>
    <w:rsid w:val="00323B13"/>
    <w:rsid w:val="0032588F"/>
    <w:rsid w:val="00326BEA"/>
    <w:rsid w:val="003303B9"/>
    <w:rsid w:val="00331AAF"/>
    <w:rsid w:val="00332673"/>
    <w:rsid w:val="003342BF"/>
    <w:rsid w:val="003343EB"/>
    <w:rsid w:val="003356C8"/>
    <w:rsid w:val="0033595E"/>
    <w:rsid w:val="00337F28"/>
    <w:rsid w:val="00342416"/>
    <w:rsid w:val="003430A0"/>
    <w:rsid w:val="00343E42"/>
    <w:rsid w:val="00343E94"/>
    <w:rsid w:val="003447CF"/>
    <w:rsid w:val="00346322"/>
    <w:rsid w:val="00352019"/>
    <w:rsid w:val="00352D19"/>
    <w:rsid w:val="00352D7C"/>
    <w:rsid w:val="00354937"/>
    <w:rsid w:val="00355571"/>
    <w:rsid w:val="00355CEC"/>
    <w:rsid w:val="00360409"/>
    <w:rsid w:val="00360D36"/>
    <w:rsid w:val="00362EDD"/>
    <w:rsid w:val="0037112B"/>
    <w:rsid w:val="00371712"/>
    <w:rsid w:val="00372984"/>
    <w:rsid w:val="00372B72"/>
    <w:rsid w:val="00374D19"/>
    <w:rsid w:val="0037659A"/>
    <w:rsid w:val="00377F05"/>
    <w:rsid w:val="00380B46"/>
    <w:rsid w:val="003810A2"/>
    <w:rsid w:val="0038330A"/>
    <w:rsid w:val="00383645"/>
    <w:rsid w:val="00383E45"/>
    <w:rsid w:val="00387EAB"/>
    <w:rsid w:val="00387F6C"/>
    <w:rsid w:val="00390AC7"/>
    <w:rsid w:val="00390AE3"/>
    <w:rsid w:val="00391F8A"/>
    <w:rsid w:val="00392D91"/>
    <w:rsid w:val="003936FF"/>
    <w:rsid w:val="00393FBE"/>
    <w:rsid w:val="00394D87"/>
    <w:rsid w:val="00394DA5"/>
    <w:rsid w:val="00395163"/>
    <w:rsid w:val="0039583E"/>
    <w:rsid w:val="003A0440"/>
    <w:rsid w:val="003A0D55"/>
    <w:rsid w:val="003A0FFC"/>
    <w:rsid w:val="003A15C6"/>
    <w:rsid w:val="003A1883"/>
    <w:rsid w:val="003A28D5"/>
    <w:rsid w:val="003A28F0"/>
    <w:rsid w:val="003A2A8A"/>
    <w:rsid w:val="003A3F88"/>
    <w:rsid w:val="003A440C"/>
    <w:rsid w:val="003A56B8"/>
    <w:rsid w:val="003A7206"/>
    <w:rsid w:val="003A78AE"/>
    <w:rsid w:val="003B0745"/>
    <w:rsid w:val="003B0DDF"/>
    <w:rsid w:val="003B1F30"/>
    <w:rsid w:val="003B20CB"/>
    <w:rsid w:val="003B2A27"/>
    <w:rsid w:val="003B3DDF"/>
    <w:rsid w:val="003B3F11"/>
    <w:rsid w:val="003B5049"/>
    <w:rsid w:val="003B50F8"/>
    <w:rsid w:val="003B5E6C"/>
    <w:rsid w:val="003B678D"/>
    <w:rsid w:val="003C003F"/>
    <w:rsid w:val="003C0BC3"/>
    <w:rsid w:val="003C0CC3"/>
    <w:rsid w:val="003C0E3E"/>
    <w:rsid w:val="003C1A94"/>
    <w:rsid w:val="003C40C7"/>
    <w:rsid w:val="003C5BFD"/>
    <w:rsid w:val="003C681D"/>
    <w:rsid w:val="003C6DB0"/>
    <w:rsid w:val="003D0CCE"/>
    <w:rsid w:val="003D3B55"/>
    <w:rsid w:val="003D3BF1"/>
    <w:rsid w:val="003D6F68"/>
    <w:rsid w:val="003D7BD2"/>
    <w:rsid w:val="003D7FC6"/>
    <w:rsid w:val="003E1A69"/>
    <w:rsid w:val="003E44BC"/>
    <w:rsid w:val="003E44D4"/>
    <w:rsid w:val="003E5865"/>
    <w:rsid w:val="003F1A69"/>
    <w:rsid w:val="003F217F"/>
    <w:rsid w:val="003F259D"/>
    <w:rsid w:val="003F284A"/>
    <w:rsid w:val="003F2D5F"/>
    <w:rsid w:val="003F3533"/>
    <w:rsid w:val="003F4C52"/>
    <w:rsid w:val="003F55F3"/>
    <w:rsid w:val="003F686A"/>
    <w:rsid w:val="003F6C02"/>
    <w:rsid w:val="003F7C23"/>
    <w:rsid w:val="00402050"/>
    <w:rsid w:val="0040305F"/>
    <w:rsid w:val="004033E7"/>
    <w:rsid w:val="00403ED6"/>
    <w:rsid w:val="00405272"/>
    <w:rsid w:val="00407642"/>
    <w:rsid w:val="00410612"/>
    <w:rsid w:val="00413874"/>
    <w:rsid w:val="004138A0"/>
    <w:rsid w:val="00414664"/>
    <w:rsid w:val="0041538E"/>
    <w:rsid w:val="00415894"/>
    <w:rsid w:val="00415AE4"/>
    <w:rsid w:val="00415B13"/>
    <w:rsid w:val="0041743D"/>
    <w:rsid w:val="004210BA"/>
    <w:rsid w:val="0042116C"/>
    <w:rsid w:val="00421F73"/>
    <w:rsid w:val="00422160"/>
    <w:rsid w:val="004222CC"/>
    <w:rsid w:val="0042263F"/>
    <w:rsid w:val="0042359D"/>
    <w:rsid w:val="00423CCB"/>
    <w:rsid w:val="00424BE2"/>
    <w:rsid w:val="00425253"/>
    <w:rsid w:val="00426744"/>
    <w:rsid w:val="00426BF0"/>
    <w:rsid w:val="0043122E"/>
    <w:rsid w:val="00431867"/>
    <w:rsid w:val="00433C19"/>
    <w:rsid w:val="00437A30"/>
    <w:rsid w:val="00437CC3"/>
    <w:rsid w:val="00437D79"/>
    <w:rsid w:val="00437F39"/>
    <w:rsid w:val="00441E51"/>
    <w:rsid w:val="00443CF1"/>
    <w:rsid w:val="004441A7"/>
    <w:rsid w:val="004444CA"/>
    <w:rsid w:val="00444508"/>
    <w:rsid w:val="0044456C"/>
    <w:rsid w:val="00446274"/>
    <w:rsid w:val="00452B8E"/>
    <w:rsid w:val="00453BAE"/>
    <w:rsid w:val="00454329"/>
    <w:rsid w:val="004552CE"/>
    <w:rsid w:val="00456B14"/>
    <w:rsid w:val="00456ECD"/>
    <w:rsid w:val="004577BC"/>
    <w:rsid w:val="004606EC"/>
    <w:rsid w:val="0046089B"/>
    <w:rsid w:val="00460F56"/>
    <w:rsid w:val="0046222D"/>
    <w:rsid w:val="00462286"/>
    <w:rsid w:val="004658E3"/>
    <w:rsid w:val="00471DF3"/>
    <w:rsid w:val="004748CA"/>
    <w:rsid w:val="00475BB5"/>
    <w:rsid w:val="00477482"/>
    <w:rsid w:val="004778A7"/>
    <w:rsid w:val="00484628"/>
    <w:rsid w:val="0048472E"/>
    <w:rsid w:val="00486BBB"/>
    <w:rsid w:val="00486D4C"/>
    <w:rsid w:val="00491FAE"/>
    <w:rsid w:val="00494573"/>
    <w:rsid w:val="00496BED"/>
    <w:rsid w:val="00496F91"/>
    <w:rsid w:val="0049718E"/>
    <w:rsid w:val="00497557"/>
    <w:rsid w:val="0049756D"/>
    <w:rsid w:val="0049779E"/>
    <w:rsid w:val="00497AD3"/>
    <w:rsid w:val="00497E43"/>
    <w:rsid w:val="004A01C6"/>
    <w:rsid w:val="004A121A"/>
    <w:rsid w:val="004A427D"/>
    <w:rsid w:val="004A6D63"/>
    <w:rsid w:val="004A7019"/>
    <w:rsid w:val="004B230F"/>
    <w:rsid w:val="004B39A6"/>
    <w:rsid w:val="004B48C8"/>
    <w:rsid w:val="004B63AD"/>
    <w:rsid w:val="004B6550"/>
    <w:rsid w:val="004B6EAE"/>
    <w:rsid w:val="004B6F57"/>
    <w:rsid w:val="004C122D"/>
    <w:rsid w:val="004C149D"/>
    <w:rsid w:val="004C1E9C"/>
    <w:rsid w:val="004C207B"/>
    <w:rsid w:val="004C20DB"/>
    <w:rsid w:val="004C29D8"/>
    <w:rsid w:val="004C32AB"/>
    <w:rsid w:val="004C42C2"/>
    <w:rsid w:val="004C64D8"/>
    <w:rsid w:val="004D10C8"/>
    <w:rsid w:val="004D1405"/>
    <w:rsid w:val="004D1599"/>
    <w:rsid w:val="004D2C12"/>
    <w:rsid w:val="004D2E39"/>
    <w:rsid w:val="004D4B91"/>
    <w:rsid w:val="004D51FE"/>
    <w:rsid w:val="004D65E4"/>
    <w:rsid w:val="004E0C21"/>
    <w:rsid w:val="004E1607"/>
    <w:rsid w:val="004E4ECC"/>
    <w:rsid w:val="004E7810"/>
    <w:rsid w:val="004F06B5"/>
    <w:rsid w:val="004F1399"/>
    <w:rsid w:val="004F2692"/>
    <w:rsid w:val="004F28CD"/>
    <w:rsid w:val="004F2BDA"/>
    <w:rsid w:val="004F2D23"/>
    <w:rsid w:val="004F38D8"/>
    <w:rsid w:val="004F5165"/>
    <w:rsid w:val="004F64AA"/>
    <w:rsid w:val="004F64FA"/>
    <w:rsid w:val="004F6845"/>
    <w:rsid w:val="004F7D8C"/>
    <w:rsid w:val="005028F7"/>
    <w:rsid w:val="00503CB2"/>
    <w:rsid w:val="00503E79"/>
    <w:rsid w:val="00504E22"/>
    <w:rsid w:val="0050582F"/>
    <w:rsid w:val="00506A95"/>
    <w:rsid w:val="005102AC"/>
    <w:rsid w:val="0051102B"/>
    <w:rsid w:val="005150FE"/>
    <w:rsid w:val="00515936"/>
    <w:rsid w:val="00516403"/>
    <w:rsid w:val="00516D82"/>
    <w:rsid w:val="005203DD"/>
    <w:rsid w:val="005205AA"/>
    <w:rsid w:val="00520613"/>
    <w:rsid w:val="0052063D"/>
    <w:rsid w:val="00521B32"/>
    <w:rsid w:val="00521CB8"/>
    <w:rsid w:val="0052577C"/>
    <w:rsid w:val="005267A0"/>
    <w:rsid w:val="005303DF"/>
    <w:rsid w:val="00532F04"/>
    <w:rsid w:val="00534090"/>
    <w:rsid w:val="0053454A"/>
    <w:rsid w:val="00535A56"/>
    <w:rsid w:val="00535B2E"/>
    <w:rsid w:val="005363C5"/>
    <w:rsid w:val="00536F08"/>
    <w:rsid w:val="00540352"/>
    <w:rsid w:val="0054346E"/>
    <w:rsid w:val="005449C2"/>
    <w:rsid w:val="00544DD7"/>
    <w:rsid w:val="005521E2"/>
    <w:rsid w:val="00552F97"/>
    <w:rsid w:val="005538E7"/>
    <w:rsid w:val="00555A81"/>
    <w:rsid w:val="0055709E"/>
    <w:rsid w:val="0055757B"/>
    <w:rsid w:val="00562442"/>
    <w:rsid w:val="00563E17"/>
    <w:rsid w:val="005645A2"/>
    <w:rsid w:val="005657EF"/>
    <w:rsid w:val="00565B13"/>
    <w:rsid w:val="00571FFA"/>
    <w:rsid w:val="0057219C"/>
    <w:rsid w:val="00573529"/>
    <w:rsid w:val="00574156"/>
    <w:rsid w:val="0057638E"/>
    <w:rsid w:val="0057792D"/>
    <w:rsid w:val="005808F8"/>
    <w:rsid w:val="00580D3A"/>
    <w:rsid w:val="00581225"/>
    <w:rsid w:val="00584CB4"/>
    <w:rsid w:val="0058587A"/>
    <w:rsid w:val="00587C3C"/>
    <w:rsid w:val="00590B55"/>
    <w:rsid w:val="00590EC3"/>
    <w:rsid w:val="00591F13"/>
    <w:rsid w:val="005955E2"/>
    <w:rsid w:val="00595F20"/>
    <w:rsid w:val="00597BA9"/>
    <w:rsid w:val="005A1287"/>
    <w:rsid w:val="005A17B2"/>
    <w:rsid w:val="005A1CF5"/>
    <w:rsid w:val="005A49D0"/>
    <w:rsid w:val="005A4E18"/>
    <w:rsid w:val="005A5F40"/>
    <w:rsid w:val="005A6D47"/>
    <w:rsid w:val="005A7590"/>
    <w:rsid w:val="005A7EEE"/>
    <w:rsid w:val="005B4558"/>
    <w:rsid w:val="005B6A75"/>
    <w:rsid w:val="005B6E94"/>
    <w:rsid w:val="005C1ED2"/>
    <w:rsid w:val="005C2A9E"/>
    <w:rsid w:val="005C393D"/>
    <w:rsid w:val="005C78A0"/>
    <w:rsid w:val="005D014D"/>
    <w:rsid w:val="005D28DC"/>
    <w:rsid w:val="005D2ED5"/>
    <w:rsid w:val="005D3158"/>
    <w:rsid w:val="005D40DD"/>
    <w:rsid w:val="005D442E"/>
    <w:rsid w:val="005D6C31"/>
    <w:rsid w:val="005D6EB8"/>
    <w:rsid w:val="005D749A"/>
    <w:rsid w:val="005E09DB"/>
    <w:rsid w:val="005E0B94"/>
    <w:rsid w:val="005E3227"/>
    <w:rsid w:val="005E3D34"/>
    <w:rsid w:val="005F01F3"/>
    <w:rsid w:val="005F0340"/>
    <w:rsid w:val="005F079A"/>
    <w:rsid w:val="005F1B1A"/>
    <w:rsid w:val="005F2CE9"/>
    <w:rsid w:val="005F3898"/>
    <w:rsid w:val="005F42D7"/>
    <w:rsid w:val="005F6FC4"/>
    <w:rsid w:val="00600586"/>
    <w:rsid w:val="0060095A"/>
    <w:rsid w:val="00602E1B"/>
    <w:rsid w:val="006034D3"/>
    <w:rsid w:val="00603D6A"/>
    <w:rsid w:val="00604520"/>
    <w:rsid w:val="00604CAE"/>
    <w:rsid w:val="0060548D"/>
    <w:rsid w:val="006062AA"/>
    <w:rsid w:val="0061079E"/>
    <w:rsid w:val="00613388"/>
    <w:rsid w:val="00613776"/>
    <w:rsid w:val="00613CDD"/>
    <w:rsid w:val="00614F58"/>
    <w:rsid w:val="006154D9"/>
    <w:rsid w:val="00615C4F"/>
    <w:rsid w:val="006169BA"/>
    <w:rsid w:val="00622824"/>
    <w:rsid w:val="00626191"/>
    <w:rsid w:val="00627AF8"/>
    <w:rsid w:val="00627FF5"/>
    <w:rsid w:val="00631238"/>
    <w:rsid w:val="00631F0B"/>
    <w:rsid w:val="00634460"/>
    <w:rsid w:val="00635B5C"/>
    <w:rsid w:val="006370AB"/>
    <w:rsid w:val="00637243"/>
    <w:rsid w:val="00637D2E"/>
    <w:rsid w:val="0064246B"/>
    <w:rsid w:val="00642BDB"/>
    <w:rsid w:val="006434C5"/>
    <w:rsid w:val="00646C3A"/>
    <w:rsid w:val="00647A3A"/>
    <w:rsid w:val="0065132C"/>
    <w:rsid w:val="00651633"/>
    <w:rsid w:val="00653BCC"/>
    <w:rsid w:val="0065596D"/>
    <w:rsid w:val="00655A6C"/>
    <w:rsid w:val="00655DE9"/>
    <w:rsid w:val="00655DF0"/>
    <w:rsid w:val="0065671F"/>
    <w:rsid w:val="00657C2A"/>
    <w:rsid w:val="00661444"/>
    <w:rsid w:val="0066406C"/>
    <w:rsid w:val="00664F32"/>
    <w:rsid w:val="006657E5"/>
    <w:rsid w:val="00665860"/>
    <w:rsid w:val="006660DA"/>
    <w:rsid w:val="00666ED5"/>
    <w:rsid w:val="00667AE3"/>
    <w:rsid w:val="00667DA5"/>
    <w:rsid w:val="006719C0"/>
    <w:rsid w:val="00671AEB"/>
    <w:rsid w:val="006724BF"/>
    <w:rsid w:val="006730CE"/>
    <w:rsid w:val="0067451E"/>
    <w:rsid w:val="00676CE1"/>
    <w:rsid w:val="00676E12"/>
    <w:rsid w:val="006776BC"/>
    <w:rsid w:val="00677FB1"/>
    <w:rsid w:val="0068163A"/>
    <w:rsid w:val="00681795"/>
    <w:rsid w:val="00681B67"/>
    <w:rsid w:val="00682686"/>
    <w:rsid w:val="006829A0"/>
    <w:rsid w:val="006829A6"/>
    <w:rsid w:val="00684568"/>
    <w:rsid w:val="0068568A"/>
    <w:rsid w:val="006856F9"/>
    <w:rsid w:val="00685C52"/>
    <w:rsid w:val="00686A30"/>
    <w:rsid w:val="00690788"/>
    <w:rsid w:val="006907AA"/>
    <w:rsid w:val="006907C0"/>
    <w:rsid w:val="006909B6"/>
    <w:rsid w:val="00692324"/>
    <w:rsid w:val="0069260D"/>
    <w:rsid w:val="00693719"/>
    <w:rsid w:val="00695CEF"/>
    <w:rsid w:val="00695E74"/>
    <w:rsid w:val="00696340"/>
    <w:rsid w:val="006977FE"/>
    <w:rsid w:val="00697D64"/>
    <w:rsid w:val="006A27AC"/>
    <w:rsid w:val="006A59F8"/>
    <w:rsid w:val="006A7079"/>
    <w:rsid w:val="006A7330"/>
    <w:rsid w:val="006A73BC"/>
    <w:rsid w:val="006B00FF"/>
    <w:rsid w:val="006B0DDA"/>
    <w:rsid w:val="006C10DD"/>
    <w:rsid w:val="006C117C"/>
    <w:rsid w:val="006C18D5"/>
    <w:rsid w:val="006C1D3D"/>
    <w:rsid w:val="006C5060"/>
    <w:rsid w:val="006C538C"/>
    <w:rsid w:val="006C7751"/>
    <w:rsid w:val="006D5DD0"/>
    <w:rsid w:val="006D798C"/>
    <w:rsid w:val="006D7CFF"/>
    <w:rsid w:val="006E0348"/>
    <w:rsid w:val="006E03BE"/>
    <w:rsid w:val="006E17FC"/>
    <w:rsid w:val="006E1C99"/>
    <w:rsid w:val="006E3F90"/>
    <w:rsid w:val="006E5E5F"/>
    <w:rsid w:val="006E5F2D"/>
    <w:rsid w:val="006F040D"/>
    <w:rsid w:val="006F05D0"/>
    <w:rsid w:val="006F0FDE"/>
    <w:rsid w:val="006F112E"/>
    <w:rsid w:val="006F1AFF"/>
    <w:rsid w:val="006F2A65"/>
    <w:rsid w:val="006F4120"/>
    <w:rsid w:val="006F4591"/>
    <w:rsid w:val="006F6E15"/>
    <w:rsid w:val="006F7B4E"/>
    <w:rsid w:val="006F7B77"/>
    <w:rsid w:val="00700701"/>
    <w:rsid w:val="00700BD0"/>
    <w:rsid w:val="00700D28"/>
    <w:rsid w:val="00701A16"/>
    <w:rsid w:val="00701BD0"/>
    <w:rsid w:val="00703687"/>
    <w:rsid w:val="00704433"/>
    <w:rsid w:val="00704787"/>
    <w:rsid w:val="00704F99"/>
    <w:rsid w:val="00705944"/>
    <w:rsid w:val="0070699A"/>
    <w:rsid w:val="007078E1"/>
    <w:rsid w:val="00707F79"/>
    <w:rsid w:val="00710242"/>
    <w:rsid w:val="007106D6"/>
    <w:rsid w:val="00713DB7"/>
    <w:rsid w:val="0071534F"/>
    <w:rsid w:val="00715FA0"/>
    <w:rsid w:val="0071659C"/>
    <w:rsid w:val="00716E7D"/>
    <w:rsid w:val="0071718E"/>
    <w:rsid w:val="00720721"/>
    <w:rsid w:val="007207C1"/>
    <w:rsid w:val="00720EE7"/>
    <w:rsid w:val="007223E5"/>
    <w:rsid w:val="00722499"/>
    <w:rsid w:val="0072436E"/>
    <w:rsid w:val="007245F5"/>
    <w:rsid w:val="00726207"/>
    <w:rsid w:val="00731B57"/>
    <w:rsid w:val="0073213A"/>
    <w:rsid w:val="00734465"/>
    <w:rsid w:val="007367DC"/>
    <w:rsid w:val="0074347E"/>
    <w:rsid w:val="00743CEC"/>
    <w:rsid w:val="007445B9"/>
    <w:rsid w:val="00744FB5"/>
    <w:rsid w:val="00745BDE"/>
    <w:rsid w:val="00745F2E"/>
    <w:rsid w:val="00746639"/>
    <w:rsid w:val="00747AE5"/>
    <w:rsid w:val="007521F2"/>
    <w:rsid w:val="00752832"/>
    <w:rsid w:val="007539FE"/>
    <w:rsid w:val="007541FF"/>
    <w:rsid w:val="00756637"/>
    <w:rsid w:val="007628EF"/>
    <w:rsid w:val="00762CE8"/>
    <w:rsid w:val="00762F9B"/>
    <w:rsid w:val="00763629"/>
    <w:rsid w:val="007677C8"/>
    <w:rsid w:val="0077125B"/>
    <w:rsid w:val="00774038"/>
    <w:rsid w:val="007746BB"/>
    <w:rsid w:val="00774F08"/>
    <w:rsid w:val="007761F1"/>
    <w:rsid w:val="00776213"/>
    <w:rsid w:val="00776288"/>
    <w:rsid w:val="007766F3"/>
    <w:rsid w:val="007775E6"/>
    <w:rsid w:val="007802B9"/>
    <w:rsid w:val="007849F1"/>
    <w:rsid w:val="0078576E"/>
    <w:rsid w:val="007860DE"/>
    <w:rsid w:val="007862A5"/>
    <w:rsid w:val="00786F6C"/>
    <w:rsid w:val="00791FD8"/>
    <w:rsid w:val="00795AA8"/>
    <w:rsid w:val="00796D5B"/>
    <w:rsid w:val="007979AD"/>
    <w:rsid w:val="007A1593"/>
    <w:rsid w:val="007A1DB1"/>
    <w:rsid w:val="007A2621"/>
    <w:rsid w:val="007A29DD"/>
    <w:rsid w:val="007A48E6"/>
    <w:rsid w:val="007A4EE7"/>
    <w:rsid w:val="007A5AA4"/>
    <w:rsid w:val="007A6DFB"/>
    <w:rsid w:val="007B20BB"/>
    <w:rsid w:val="007B2AC2"/>
    <w:rsid w:val="007B2B14"/>
    <w:rsid w:val="007B2BB6"/>
    <w:rsid w:val="007B3033"/>
    <w:rsid w:val="007B441C"/>
    <w:rsid w:val="007B4E56"/>
    <w:rsid w:val="007B6E6B"/>
    <w:rsid w:val="007B7855"/>
    <w:rsid w:val="007C128D"/>
    <w:rsid w:val="007C14D3"/>
    <w:rsid w:val="007C3D8F"/>
    <w:rsid w:val="007C51B3"/>
    <w:rsid w:val="007C630D"/>
    <w:rsid w:val="007C752F"/>
    <w:rsid w:val="007D0CD1"/>
    <w:rsid w:val="007D2421"/>
    <w:rsid w:val="007D2503"/>
    <w:rsid w:val="007D270F"/>
    <w:rsid w:val="007D3B89"/>
    <w:rsid w:val="007E0359"/>
    <w:rsid w:val="007E2481"/>
    <w:rsid w:val="007E2BB0"/>
    <w:rsid w:val="007E2D50"/>
    <w:rsid w:val="007E4203"/>
    <w:rsid w:val="007E494A"/>
    <w:rsid w:val="007E4BFF"/>
    <w:rsid w:val="007E52F8"/>
    <w:rsid w:val="007E54FA"/>
    <w:rsid w:val="007E5AC0"/>
    <w:rsid w:val="007F0B60"/>
    <w:rsid w:val="007F122C"/>
    <w:rsid w:val="007F35F8"/>
    <w:rsid w:val="007F3A49"/>
    <w:rsid w:val="007F5BC8"/>
    <w:rsid w:val="007F6CCB"/>
    <w:rsid w:val="007F7C52"/>
    <w:rsid w:val="008008CB"/>
    <w:rsid w:val="0080134B"/>
    <w:rsid w:val="0080239E"/>
    <w:rsid w:val="00805396"/>
    <w:rsid w:val="00810CBA"/>
    <w:rsid w:val="00811DAC"/>
    <w:rsid w:val="00813063"/>
    <w:rsid w:val="00814F12"/>
    <w:rsid w:val="008160D8"/>
    <w:rsid w:val="0081740C"/>
    <w:rsid w:val="008175BE"/>
    <w:rsid w:val="00817A2F"/>
    <w:rsid w:val="00822293"/>
    <w:rsid w:val="008222D6"/>
    <w:rsid w:val="00823B58"/>
    <w:rsid w:val="00823C01"/>
    <w:rsid w:val="00823C51"/>
    <w:rsid w:val="00823EC3"/>
    <w:rsid w:val="00826063"/>
    <w:rsid w:val="00826DDD"/>
    <w:rsid w:val="008320F6"/>
    <w:rsid w:val="0083375D"/>
    <w:rsid w:val="00835EEB"/>
    <w:rsid w:val="00837C71"/>
    <w:rsid w:val="00840599"/>
    <w:rsid w:val="008429BB"/>
    <w:rsid w:val="00842BCB"/>
    <w:rsid w:val="00843E5E"/>
    <w:rsid w:val="00852A4F"/>
    <w:rsid w:val="00857065"/>
    <w:rsid w:val="00857F6A"/>
    <w:rsid w:val="00860CE5"/>
    <w:rsid w:val="00862857"/>
    <w:rsid w:val="00865183"/>
    <w:rsid w:val="00865203"/>
    <w:rsid w:val="00867310"/>
    <w:rsid w:val="00867DFD"/>
    <w:rsid w:val="0087001B"/>
    <w:rsid w:val="008714BE"/>
    <w:rsid w:val="008721FD"/>
    <w:rsid w:val="008724AF"/>
    <w:rsid w:val="008737F6"/>
    <w:rsid w:val="00873B98"/>
    <w:rsid w:val="008754CE"/>
    <w:rsid w:val="00875A0A"/>
    <w:rsid w:val="008774DD"/>
    <w:rsid w:val="008777D7"/>
    <w:rsid w:val="0088259C"/>
    <w:rsid w:val="0088399D"/>
    <w:rsid w:val="008842B9"/>
    <w:rsid w:val="00885D90"/>
    <w:rsid w:val="008876C7"/>
    <w:rsid w:val="00887724"/>
    <w:rsid w:val="0089154C"/>
    <w:rsid w:val="00892293"/>
    <w:rsid w:val="00892489"/>
    <w:rsid w:val="0089397F"/>
    <w:rsid w:val="00894145"/>
    <w:rsid w:val="008950DE"/>
    <w:rsid w:val="00895553"/>
    <w:rsid w:val="00896D5E"/>
    <w:rsid w:val="008A225C"/>
    <w:rsid w:val="008A510D"/>
    <w:rsid w:val="008A5B2D"/>
    <w:rsid w:val="008A5C4A"/>
    <w:rsid w:val="008A63F2"/>
    <w:rsid w:val="008A6A85"/>
    <w:rsid w:val="008A6C9C"/>
    <w:rsid w:val="008A6C9E"/>
    <w:rsid w:val="008B047B"/>
    <w:rsid w:val="008B1477"/>
    <w:rsid w:val="008B1B67"/>
    <w:rsid w:val="008B3C32"/>
    <w:rsid w:val="008B45D1"/>
    <w:rsid w:val="008B6206"/>
    <w:rsid w:val="008B6B45"/>
    <w:rsid w:val="008C17AB"/>
    <w:rsid w:val="008C1C0E"/>
    <w:rsid w:val="008C5E33"/>
    <w:rsid w:val="008C65AF"/>
    <w:rsid w:val="008C78C8"/>
    <w:rsid w:val="008D0FE9"/>
    <w:rsid w:val="008D19D4"/>
    <w:rsid w:val="008D22E6"/>
    <w:rsid w:val="008D5F29"/>
    <w:rsid w:val="008D793C"/>
    <w:rsid w:val="008E09F7"/>
    <w:rsid w:val="008E2690"/>
    <w:rsid w:val="008E3F62"/>
    <w:rsid w:val="008E6289"/>
    <w:rsid w:val="008E79A3"/>
    <w:rsid w:val="008F0CEB"/>
    <w:rsid w:val="008F340C"/>
    <w:rsid w:val="008F374C"/>
    <w:rsid w:val="008F3BC3"/>
    <w:rsid w:val="008F5901"/>
    <w:rsid w:val="008F6156"/>
    <w:rsid w:val="009002A6"/>
    <w:rsid w:val="00905EEE"/>
    <w:rsid w:val="0090775D"/>
    <w:rsid w:val="00910146"/>
    <w:rsid w:val="00910700"/>
    <w:rsid w:val="0091468A"/>
    <w:rsid w:val="00914C21"/>
    <w:rsid w:val="0091592B"/>
    <w:rsid w:val="0091681A"/>
    <w:rsid w:val="009209A1"/>
    <w:rsid w:val="00920BA4"/>
    <w:rsid w:val="00920FF3"/>
    <w:rsid w:val="00922018"/>
    <w:rsid w:val="00925936"/>
    <w:rsid w:val="00925FD7"/>
    <w:rsid w:val="00926FE6"/>
    <w:rsid w:val="00930823"/>
    <w:rsid w:val="00930F90"/>
    <w:rsid w:val="00931CF6"/>
    <w:rsid w:val="00933CDE"/>
    <w:rsid w:val="00940C8E"/>
    <w:rsid w:val="0094140E"/>
    <w:rsid w:val="00941A14"/>
    <w:rsid w:val="0094279B"/>
    <w:rsid w:val="00942C67"/>
    <w:rsid w:val="00942C73"/>
    <w:rsid w:val="009442FB"/>
    <w:rsid w:val="00946A79"/>
    <w:rsid w:val="00946F73"/>
    <w:rsid w:val="0094741F"/>
    <w:rsid w:val="00947A63"/>
    <w:rsid w:val="00950299"/>
    <w:rsid w:val="00950A2F"/>
    <w:rsid w:val="00955146"/>
    <w:rsid w:val="00956206"/>
    <w:rsid w:val="00957EA4"/>
    <w:rsid w:val="00960D27"/>
    <w:rsid w:val="00960D93"/>
    <w:rsid w:val="00960DCD"/>
    <w:rsid w:val="00961054"/>
    <w:rsid w:val="0096225A"/>
    <w:rsid w:val="009622EB"/>
    <w:rsid w:val="009633F8"/>
    <w:rsid w:val="00963B4A"/>
    <w:rsid w:val="00963C17"/>
    <w:rsid w:val="00965C8D"/>
    <w:rsid w:val="00965E3E"/>
    <w:rsid w:val="00965EA7"/>
    <w:rsid w:val="009708BB"/>
    <w:rsid w:val="00970E3A"/>
    <w:rsid w:val="00974D6D"/>
    <w:rsid w:val="00975A4E"/>
    <w:rsid w:val="00976F16"/>
    <w:rsid w:val="009770D9"/>
    <w:rsid w:val="0098075A"/>
    <w:rsid w:val="009819B0"/>
    <w:rsid w:val="00982BC1"/>
    <w:rsid w:val="00982E61"/>
    <w:rsid w:val="00983010"/>
    <w:rsid w:val="00985034"/>
    <w:rsid w:val="00985614"/>
    <w:rsid w:val="00985B33"/>
    <w:rsid w:val="0098657F"/>
    <w:rsid w:val="00987ABA"/>
    <w:rsid w:val="00987B48"/>
    <w:rsid w:val="009900DD"/>
    <w:rsid w:val="00991849"/>
    <w:rsid w:val="009920CC"/>
    <w:rsid w:val="009940A3"/>
    <w:rsid w:val="009956AA"/>
    <w:rsid w:val="00995F23"/>
    <w:rsid w:val="009A07E0"/>
    <w:rsid w:val="009A32C8"/>
    <w:rsid w:val="009A4361"/>
    <w:rsid w:val="009A4A6F"/>
    <w:rsid w:val="009B1A54"/>
    <w:rsid w:val="009B28BD"/>
    <w:rsid w:val="009B6AA6"/>
    <w:rsid w:val="009C0744"/>
    <w:rsid w:val="009C0D70"/>
    <w:rsid w:val="009C25F3"/>
    <w:rsid w:val="009C46CC"/>
    <w:rsid w:val="009C5120"/>
    <w:rsid w:val="009C57CA"/>
    <w:rsid w:val="009C64A2"/>
    <w:rsid w:val="009C7B2D"/>
    <w:rsid w:val="009D0444"/>
    <w:rsid w:val="009D0993"/>
    <w:rsid w:val="009D2127"/>
    <w:rsid w:val="009D450D"/>
    <w:rsid w:val="009D5033"/>
    <w:rsid w:val="009D5116"/>
    <w:rsid w:val="009D5C12"/>
    <w:rsid w:val="009D6C17"/>
    <w:rsid w:val="009D7887"/>
    <w:rsid w:val="009E1C8B"/>
    <w:rsid w:val="009E2BDA"/>
    <w:rsid w:val="009E3C4C"/>
    <w:rsid w:val="009E40A6"/>
    <w:rsid w:val="009E4539"/>
    <w:rsid w:val="009E59FF"/>
    <w:rsid w:val="009E7636"/>
    <w:rsid w:val="009E7EC7"/>
    <w:rsid w:val="009F0790"/>
    <w:rsid w:val="009F3340"/>
    <w:rsid w:val="009F3E01"/>
    <w:rsid w:val="009F6A12"/>
    <w:rsid w:val="009F7E22"/>
    <w:rsid w:val="009F7FD6"/>
    <w:rsid w:val="00A013AD"/>
    <w:rsid w:val="00A0173C"/>
    <w:rsid w:val="00A01BED"/>
    <w:rsid w:val="00A01C4E"/>
    <w:rsid w:val="00A03B6C"/>
    <w:rsid w:val="00A04492"/>
    <w:rsid w:val="00A044C1"/>
    <w:rsid w:val="00A04A75"/>
    <w:rsid w:val="00A0795B"/>
    <w:rsid w:val="00A07BC6"/>
    <w:rsid w:val="00A07CBF"/>
    <w:rsid w:val="00A13771"/>
    <w:rsid w:val="00A1379C"/>
    <w:rsid w:val="00A15A8B"/>
    <w:rsid w:val="00A161DA"/>
    <w:rsid w:val="00A16498"/>
    <w:rsid w:val="00A2120C"/>
    <w:rsid w:val="00A22B7D"/>
    <w:rsid w:val="00A253E0"/>
    <w:rsid w:val="00A25BC3"/>
    <w:rsid w:val="00A3447B"/>
    <w:rsid w:val="00A355CD"/>
    <w:rsid w:val="00A37939"/>
    <w:rsid w:val="00A37D8A"/>
    <w:rsid w:val="00A40D13"/>
    <w:rsid w:val="00A4199A"/>
    <w:rsid w:val="00A42782"/>
    <w:rsid w:val="00A428FC"/>
    <w:rsid w:val="00A458FB"/>
    <w:rsid w:val="00A47BEE"/>
    <w:rsid w:val="00A52DE1"/>
    <w:rsid w:val="00A5331B"/>
    <w:rsid w:val="00A53CDB"/>
    <w:rsid w:val="00A543CD"/>
    <w:rsid w:val="00A54876"/>
    <w:rsid w:val="00A5688B"/>
    <w:rsid w:val="00A56B76"/>
    <w:rsid w:val="00A62C42"/>
    <w:rsid w:val="00A62DAC"/>
    <w:rsid w:val="00A65058"/>
    <w:rsid w:val="00A65642"/>
    <w:rsid w:val="00A656D2"/>
    <w:rsid w:val="00A6589E"/>
    <w:rsid w:val="00A65C2D"/>
    <w:rsid w:val="00A667AD"/>
    <w:rsid w:val="00A7169F"/>
    <w:rsid w:val="00A71845"/>
    <w:rsid w:val="00A72315"/>
    <w:rsid w:val="00A72470"/>
    <w:rsid w:val="00A72CE1"/>
    <w:rsid w:val="00A740CF"/>
    <w:rsid w:val="00A74E26"/>
    <w:rsid w:val="00A7519B"/>
    <w:rsid w:val="00A75503"/>
    <w:rsid w:val="00A76041"/>
    <w:rsid w:val="00A77FC4"/>
    <w:rsid w:val="00A81D29"/>
    <w:rsid w:val="00A8286A"/>
    <w:rsid w:val="00A836A3"/>
    <w:rsid w:val="00A84BE4"/>
    <w:rsid w:val="00A84C72"/>
    <w:rsid w:val="00A84CD6"/>
    <w:rsid w:val="00A85959"/>
    <w:rsid w:val="00A86397"/>
    <w:rsid w:val="00A865CC"/>
    <w:rsid w:val="00A86DD1"/>
    <w:rsid w:val="00A9128C"/>
    <w:rsid w:val="00A923FA"/>
    <w:rsid w:val="00A92CC3"/>
    <w:rsid w:val="00A92E4C"/>
    <w:rsid w:val="00A9376B"/>
    <w:rsid w:val="00A93FC6"/>
    <w:rsid w:val="00A94F2C"/>
    <w:rsid w:val="00A953EA"/>
    <w:rsid w:val="00A95A00"/>
    <w:rsid w:val="00A969C4"/>
    <w:rsid w:val="00A970D8"/>
    <w:rsid w:val="00A975FF"/>
    <w:rsid w:val="00AA0BC4"/>
    <w:rsid w:val="00AA26E1"/>
    <w:rsid w:val="00AA4801"/>
    <w:rsid w:val="00AA4D69"/>
    <w:rsid w:val="00AA531E"/>
    <w:rsid w:val="00AA5654"/>
    <w:rsid w:val="00AB014C"/>
    <w:rsid w:val="00AB1998"/>
    <w:rsid w:val="00AB1E58"/>
    <w:rsid w:val="00AB2B2B"/>
    <w:rsid w:val="00AB3904"/>
    <w:rsid w:val="00AB44E1"/>
    <w:rsid w:val="00AB44F0"/>
    <w:rsid w:val="00AB53CA"/>
    <w:rsid w:val="00AB7343"/>
    <w:rsid w:val="00AB7582"/>
    <w:rsid w:val="00AC1070"/>
    <w:rsid w:val="00AC23AE"/>
    <w:rsid w:val="00AC2D12"/>
    <w:rsid w:val="00AC2DCD"/>
    <w:rsid w:val="00AC34D1"/>
    <w:rsid w:val="00AC39BC"/>
    <w:rsid w:val="00AC652B"/>
    <w:rsid w:val="00AD020C"/>
    <w:rsid w:val="00AD1343"/>
    <w:rsid w:val="00AD32B8"/>
    <w:rsid w:val="00AD5F2F"/>
    <w:rsid w:val="00AD6EC8"/>
    <w:rsid w:val="00AD7D3E"/>
    <w:rsid w:val="00AE06A8"/>
    <w:rsid w:val="00AE06F1"/>
    <w:rsid w:val="00AE1000"/>
    <w:rsid w:val="00AE16C8"/>
    <w:rsid w:val="00AE2282"/>
    <w:rsid w:val="00AE461F"/>
    <w:rsid w:val="00AE4798"/>
    <w:rsid w:val="00AE6D79"/>
    <w:rsid w:val="00AE76FF"/>
    <w:rsid w:val="00AF04DD"/>
    <w:rsid w:val="00AF171F"/>
    <w:rsid w:val="00AF1747"/>
    <w:rsid w:val="00AF1A67"/>
    <w:rsid w:val="00AF3A11"/>
    <w:rsid w:val="00AF411C"/>
    <w:rsid w:val="00AF52B9"/>
    <w:rsid w:val="00AF596A"/>
    <w:rsid w:val="00AF5F6E"/>
    <w:rsid w:val="00AF6068"/>
    <w:rsid w:val="00B00565"/>
    <w:rsid w:val="00B042CE"/>
    <w:rsid w:val="00B045E8"/>
    <w:rsid w:val="00B048F2"/>
    <w:rsid w:val="00B11938"/>
    <w:rsid w:val="00B1211C"/>
    <w:rsid w:val="00B2214B"/>
    <w:rsid w:val="00B223F3"/>
    <w:rsid w:val="00B225BF"/>
    <w:rsid w:val="00B22C44"/>
    <w:rsid w:val="00B25528"/>
    <w:rsid w:val="00B276C6"/>
    <w:rsid w:val="00B315DF"/>
    <w:rsid w:val="00B3211B"/>
    <w:rsid w:val="00B32120"/>
    <w:rsid w:val="00B32968"/>
    <w:rsid w:val="00B336C7"/>
    <w:rsid w:val="00B3426D"/>
    <w:rsid w:val="00B345EF"/>
    <w:rsid w:val="00B34914"/>
    <w:rsid w:val="00B34FC3"/>
    <w:rsid w:val="00B3601C"/>
    <w:rsid w:val="00B37897"/>
    <w:rsid w:val="00B378D4"/>
    <w:rsid w:val="00B40030"/>
    <w:rsid w:val="00B400AC"/>
    <w:rsid w:val="00B405E7"/>
    <w:rsid w:val="00B421C2"/>
    <w:rsid w:val="00B4494D"/>
    <w:rsid w:val="00B44DE2"/>
    <w:rsid w:val="00B45BED"/>
    <w:rsid w:val="00B4791C"/>
    <w:rsid w:val="00B47E98"/>
    <w:rsid w:val="00B5147B"/>
    <w:rsid w:val="00B5221D"/>
    <w:rsid w:val="00B526B9"/>
    <w:rsid w:val="00B53BEF"/>
    <w:rsid w:val="00B5422E"/>
    <w:rsid w:val="00B554EA"/>
    <w:rsid w:val="00B57581"/>
    <w:rsid w:val="00B57D14"/>
    <w:rsid w:val="00B60666"/>
    <w:rsid w:val="00B610BE"/>
    <w:rsid w:val="00B62825"/>
    <w:rsid w:val="00B65EE3"/>
    <w:rsid w:val="00B70057"/>
    <w:rsid w:val="00B724F5"/>
    <w:rsid w:val="00B72A5F"/>
    <w:rsid w:val="00B72CEB"/>
    <w:rsid w:val="00B747E4"/>
    <w:rsid w:val="00B7589E"/>
    <w:rsid w:val="00B75C9E"/>
    <w:rsid w:val="00B75D13"/>
    <w:rsid w:val="00B76BA8"/>
    <w:rsid w:val="00B77F80"/>
    <w:rsid w:val="00B805FC"/>
    <w:rsid w:val="00B81DE5"/>
    <w:rsid w:val="00B83676"/>
    <w:rsid w:val="00B85B4A"/>
    <w:rsid w:val="00B85F34"/>
    <w:rsid w:val="00B863CD"/>
    <w:rsid w:val="00B8698C"/>
    <w:rsid w:val="00B878E9"/>
    <w:rsid w:val="00B90189"/>
    <w:rsid w:val="00B909EF"/>
    <w:rsid w:val="00B91229"/>
    <w:rsid w:val="00B91FE4"/>
    <w:rsid w:val="00B94494"/>
    <w:rsid w:val="00B94AA3"/>
    <w:rsid w:val="00B9759C"/>
    <w:rsid w:val="00B97B8F"/>
    <w:rsid w:val="00BA09FB"/>
    <w:rsid w:val="00BA1C1F"/>
    <w:rsid w:val="00BA5206"/>
    <w:rsid w:val="00BA5235"/>
    <w:rsid w:val="00BA7765"/>
    <w:rsid w:val="00BB1312"/>
    <w:rsid w:val="00BB2EBB"/>
    <w:rsid w:val="00BB3449"/>
    <w:rsid w:val="00BB474E"/>
    <w:rsid w:val="00BB6B43"/>
    <w:rsid w:val="00BB6CD8"/>
    <w:rsid w:val="00BC01C4"/>
    <w:rsid w:val="00BC1978"/>
    <w:rsid w:val="00BC2DE4"/>
    <w:rsid w:val="00BC3932"/>
    <w:rsid w:val="00BC39E8"/>
    <w:rsid w:val="00BC4844"/>
    <w:rsid w:val="00BC4D16"/>
    <w:rsid w:val="00BC553F"/>
    <w:rsid w:val="00BC7113"/>
    <w:rsid w:val="00BC761E"/>
    <w:rsid w:val="00BD096B"/>
    <w:rsid w:val="00BD12FB"/>
    <w:rsid w:val="00BD1734"/>
    <w:rsid w:val="00BD2743"/>
    <w:rsid w:val="00BD3739"/>
    <w:rsid w:val="00BD3802"/>
    <w:rsid w:val="00BD414D"/>
    <w:rsid w:val="00BD4CE2"/>
    <w:rsid w:val="00BD64AD"/>
    <w:rsid w:val="00BD7CB9"/>
    <w:rsid w:val="00BD7DBB"/>
    <w:rsid w:val="00BE144F"/>
    <w:rsid w:val="00BE1D8C"/>
    <w:rsid w:val="00BE4A9D"/>
    <w:rsid w:val="00BE54F5"/>
    <w:rsid w:val="00BE66F2"/>
    <w:rsid w:val="00BF0E9D"/>
    <w:rsid w:val="00BF1EF6"/>
    <w:rsid w:val="00BF2A66"/>
    <w:rsid w:val="00BF2AF2"/>
    <w:rsid w:val="00BF365B"/>
    <w:rsid w:val="00BF37C5"/>
    <w:rsid w:val="00BF3902"/>
    <w:rsid w:val="00BF43DA"/>
    <w:rsid w:val="00BF7A0E"/>
    <w:rsid w:val="00BF7A4D"/>
    <w:rsid w:val="00C007A3"/>
    <w:rsid w:val="00C0115D"/>
    <w:rsid w:val="00C01368"/>
    <w:rsid w:val="00C02CB4"/>
    <w:rsid w:val="00C03006"/>
    <w:rsid w:val="00C03866"/>
    <w:rsid w:val="00C03CC1"/>
    <w:rsid w:val="00C0491A"/>
    <w:rsid w:val="00C07E60"/>
    <w:rsid w:val="00C10E8B"/>
    <w:rsid w:val="00C123E2"/>
    <w:rsid w:val="00C124B1"/>
    <w:rsid w:val="00C13E7F"/>
    <w:rsid w:val="00C14B99"/>
    <w:rsid w:val="00C15A36"/>
    <w:rsid w:val="00C15F48"/>
    <w:rsid w:val="00C17ABF"/>
    <w:rsid w:val="00C214A1"/>
    <w:rsid w:val="00C23464"/>
    <w:rsid w:val="00C23F5C"/>
    <w:rsid w:val="00C2473D"/>
    <w:rsid w:val="00C250D8"/>
    <w:rsid w:val="00C26EAC"/>
    <w:rsid w:val="00C309AF"/>
    <w:rsid w:val="00C31489"/>
    <w:rsid w:val="00C33006"/>
    <w:rsid w:val="00C338B0"/>
    <w:rsid w:val="00C35B96"/>
    <w:rsid w:val="00C4183A"/>
    <w:rsid w:val="00C44619"/>
    <w:rsid w:val="00C45F30"/>
    <w:rsid w:val="00C47223"/>
    <w:rsid w:val="00C54BD9"/>
    <w:rsid w:val="00C56E06"/>
    <w:rsid w:val="00C606BE"/>
    <w:rsid w:val="00C64542"/>
    <w:rsid w:val="00C64A24"/>
    <w:rsid w:val="00C650DE"/>
    <w:rsid w:val="00C65FC7"/>
    <w:rsid w:val="00C66427"/>
    <w:rsid w:val="00C6649D"/>
    <w:rsid w:val="00C679BA"/>
    <w:rsid w:val="00C70D93"/>
    <w:rsid w:val="00C72348"/>
    <w:rsid w:val="00C72A3F"/>
    <w:rsid w:val="00C73678"/>
    <w:rsid w:val="00C7384E"/>
    <w:rsid w:val="00C74D24"/>
    <w:rsid w:val="00C803E2"/>
    <w:rsid w:val="00C8070D"/>
    <w:rsid w:val="00C81356"/>
    <w:rsid w:val="00C823BC"/>
    <w:rsid w:val="00C82B7D"/>
    <w:rsid w:val="00C845B2"/>
    <w:rsid w:val="00C85418"/>
    <w:rsid w:val="00C876AF"/>
    <w:rsid w:val="00C87881"/>
    <w:rsid w:val="00C87A22"/>
    <w:rsid w:val="00C936D0"/>
    <w:rsid w:val="00C936F9"/>
    <w:rsid w:val="00C94ACC"/>
    <w:rsid w:val="00C9769B"/>
    <w:rsid w:val="00CA0461"/>
    <w:rsid w:val="00CA0837"/>
    <w:rsid w:val="00CA088D"/>
    <w:rsid w:val="00CA314E"/>
    <w:rsid w:val="00CA3D8E"/>
    <w:rsid w:val="00CA4F23"/>
    <w:rsid w:val="00CB183E"/>
    <w:rsid w:val="00CB18F7"/>
    <w:rsid w:val="00CB1FED"/>
    <w:rsid w:val="00CB22B6"/>
    <w:rsid w:val="00CB4E57"/>
    <w:rsid w:val="00CB51CE"/>
    <w:rsid w:val="00CB6488"/>
    <w:rsid w:val="00CB7655"/>
    <w:rsid w:val="00CC022A"/>
    <w:rsid w:val="00CC0CE4"/>
    <w:rsid w:val="00CC0EA7"/>
    <w:rsid w:val="00CC0F03"/>
    <w:rsid w:val="00CC4782"/>
    <w:rsid w:val="00CC67BA"/>
    <w:rsid w:val="00CD0D31"/>
    <w:rsid w:val="00CD1167"/>
    <w:rsid w:val="00CD39DA"/>
    <w:rsid w:val="00CD409C"/>
    <w:rsid w:val="00CE029A"/>
    <w:rsid w:val="00CE03C5"/>
    <w:rsid w:val="00CE0C29"/>
    <w:rsid w:val="00CE1E17"/>
    <w:rsid w:val="00CE2CF4"/>
    <w:rsid w:val="00CE3769"/>
    <w:rsid w:val="00CE5227"/>
    <w:rsid w:val="00CE5393"/>
    <w:rsid w:val="00CE5776"/>
    <w:rsid w:val="00CE5B6D"/>
    <w:rsid w:val="00CE7DBD"/>
    <w:rsid w:val="00CF05F7"/>
    <w:rsid w:val="00CF34C0"/>
    <w:rsid w:val="00CF4DAD"/>
    <w:rsid w:val="00CF5960"/>
    <w:rsid w:val="00CF68EF"/>
    <w:rsid w:val="00D01107"/>
    <w:rsid w:val="00D012A0"/>
    <w:rsid w:val="00D01355"/>
    <w:rsid w:val="00D01592"/>
    <w:rsid w:val="00D01C01"/>
    <w:rsid w:val="00D02269"/>
    <w:rsid w:val="00D02DE5"/>
    <w:rsid w:val="00D03528"/>
    <w:rsid w:val="00D03957"/>
    <w:rsid w:val="00D05C15"/>
    <w:rsid w:val="00D067ED"/>
    <w:rsid w:val="00D11685"/>
    <w:rsid w:val="00D1295E"/>
    <w:rsid w:val="00D13574"/>
    <w:rsid w:val="00D13A2C"/>
    <w:rsid w:val="00D16719"/>
    <w:rsid w:val="00D16B80"/>
    <w:rsid w:val="00D17D51"/>
    <w:rsid w:val="00D217D2"/>
    <w:rsid w:val="00D25766"/>
    <w:rsid w:val="00D307B2"/>
    <w:rsid w:val="00D32514"/>
    <w:rsid w:val="00D32AD6"/>
    <w:rsid w:val="00D33C24"/>
    <w:rsid w:val="00D34033"/>
    <w:rsid w:val="00D34C4E"/>
    <w:rsid w:val="00D35A4D"/>
    <w:rsid w:val="00D35CCB"/>
    <w:rsid w:val="00D37C05"/>
    <w:rsid w:val="00D41D7A"/>
    <w:rsid w:val="00D41D90"/>
    <w:rsid w:val="00D425D3"/>
    <w:rsid w:val="00D43676"/>
    <w:rsid w:val="00D44CC4"/>
    <w:rsid w:val="00D44EC7"/>
    <w:rsid w:val="00D45839"/>
    <w:rsid w:val="00D475B0"/>
    <w:rsid w:val="00D51C6A"/>
    <w:rsid w:val="00D54284"/>
    <w:rsid w:val="00D5485D"/>
    <w:rsid w:val="00D574ED"/>
    <w:rsid w:val="00D577FF"/>
    <w:rsid w:val="00D60756"/>
    <w:rsid w:val="00D60CC6"/>
    <w:rsid w:val="00D60E97"/>
    <w:rsid w:val="00D6222C"/>
    <w:rsid w:val="00D63502"/>
    <w:rsid w:val="00D64265"/>
    <w:rsid w:val="00D6438A"/>
    <w:rsid w:val="00D65F6E"/>
    <w:rsid w:val="00D6608F"/>
    <w:rsid w:val="00D67464"/>
    <w:rsid w:val="00D71F77"/>
    <w:rsid w:val="00D74955"/>
    <w:rsid w:val="00D76F09"/>
    <w:rsid w:val="00D77DEB"/>
    <w:rsid w:val="00D80481"/>
    <w:rsid w:val="00D8261A"/>
    <w:rsid w:val="00D837C1"/>
    <w:rsid w:val="00D84247"/>
    <w:rsid w:val="00D849F9"/>
    <w:rsid w:val="00D86102"/>
    <w:rsid w:val="00D86F18"/>
    <w:rsid w:val="00D919EC"/>
    <w:rsid w:val="00D92B2E"/>
    <w:rsid w:val="00D92D7C"/>
    <w:rsid w:val="00D9467A"/>
    <w:rsid w:val="00D95719"/>
    <w:rsid w:val="00D96774"/>
    <w:rsid w:val="00D97F22"/>
    <w:rsid w:val="00DA0589"/>
    <w:rsid w:val="00DA1162"/>
    <w:rsid w:val="00DA14EC"/>
    <w:rsid w:val="00DA2A2C"/>
    <w:rsid w:val="00DA417A"/>
    <w:rsid w:val="00DA4EBD"/>
    <w:rsid w:val="00DA4F34"/>
    <w:rsid w:val="00DA5A27"/>
    <w:rsid w:val="00DA68D9"/>
    <w:rsid w:val="00DA7154"/>
    <w:rsid w:val="00DA7305"/>
    <w:rsid w:val="00DA7546"/>
    <w:rsid w:val="00DB45F9"/>
    <w:rsid w:val="00DB6401"/>
    <w:rsid w:val="00DB6DAC"/>
    <w:rsid w:val="00DB727E"/>
    <w:rsid w:val="00DB780D"/>
    <w:rsid w:val="00DB7D05"/>
    <w:rsid w:val="00DC1FA2"/>
    <w:rsid w:val="00DC3A94"/>
    <w:rsid w:val="00DC46E2"/>
    <w:rsid w:val="00DC509F"/>
    <w:rsid w:val="00DC5B89"/>
    <w:rsid w:val="00DD0160"/>
    <w:rsid w:val="00DD097A"/>
    <w:rsid w:val="00DD2B4C"/>
    <w:rsid w:val="00DD30CC"/>
    <w:rsid w:val="00DD3578"/>
    <w:rsid w:val="00DD43EC"/>
    <w:rsid w:val="00DD59B1"/>
    <w:rsid w:val="00DD5DFD"/>
    <w:rsid w:val="00DD69B0"/>
    <w:rsid w:val="00DD7654"/>
    <w:rsid w:val="00DE2DCA"/>
    <w:rsid w:val="00DE3140"/>
    <w:rsid w:val="00DE618A"/>
    <w:rsid w:val="00DE6321"/>
    <w:rsid w:val="00DE6454"/>
    <w:rsid w:val="00DE7233"/>
    <w:rsid w:val="00DE7A60"/>
    <w:rsid w:val="00DF09E9"/>
    <w:rsid w:val="00DF160A"/>
    <w:rsid w:val="00DF1660"/>
    <w:rsid w:val="00DF2109"/>
    <w:rsid w:val="00DF408B"/>
    <w:rsid w:val="00DF68BE"/>
    <w:rsid w:val="00DF7A36"/>
    <w:rsid w:val="00E009AE"/>
    <w:rsid w:val="00E01F5F"/>
    <w:rsid w:val="00E0312B"/>
    <w:rsid w:val="00E03888"/>
    <w:rsid w:val="00E039F5"/>
    <w:rsid w:val="00E03C86"/>
    <w:rsid w:val="00E06378"/>
    <w:rsid w:val="00E10D2F"/>
    <w:rsid w:val="00E116BA"/>
    <w:rsid w:val="00E1193C"/>
    <w:rsid w:val="00E11AE5"/>
    <w:rsid w:val="00E202BF"/>
    <w:rsid w:val="00E22DC4"/>
    <w:rsid w:val="00E234E6"/>
    <w:rsid w:val="00E23894"/>
    <w:rsid w:val="00E23B6F"/>
    <w:rsid w:val="00E24A8C"/>
    <w:rsid w:val="00E24FD6"/>
    <w:rsid w:val="00E270F7"/>
    <w:rsid w:val="00E27580"/>
    <w:rsid w:val="00E278B5"/>
    <w:rsid w:val="00E32FF8"/>
    <w:rsid w:val="00E331EC"/>
    <w:rsid w:val="00E35720"/>
    <w:rsid w:val="00E40596"/>
    <w:rsid w:val="00E4242C"/>
    <w:rsid w:val="00E46136"/>
    <w:rsid w:val="00E467C6"/>
    <w:rsid w:val="00E475F2"/>
    <w:rsid w:val="00E47AFF"/>
    <w:rsid w:val="00E51915"/>
    <w:rsid w:val="00E51AE5"/>
    <w:rsid w:val="00E56839"/>
    <w:rsid w:val="00E56AF1"/>
    <w:rsid w:val="00E570B4"/>
    <w:rsid w:val="00E57DA9"/>
    <w:rsid w:val="00E6040E"/>
    <w:rsid w:val="00E62272"/>
    <w:rsid w:val="00E62ACC"/>
    <w:rsid w:val="00E64824"/>
    <w:rsid w:val="00E672EC"/>
    <w:rsid w:val="00E74F02"/>
    <w:rsid w:val="00E76E2D"/>
    <w:rsid w:val="00E779AF"/>
    <w:rsid w:val="00E8193B"/>
    <w:rsid w:val="00E830F3"/>
    <w:rsid w:val="00E84D10"/>
    <w:rsid w:val="00E8623C"/>
    <w:rsid w:val="00E86DE9"/>
    <w:rsid w:val="00E902BB"/>
    <w:rsid w:val="00E924BA"/>
    <w:rsid w:val="00E932B0"/>
    <w:rsid w:val="00E93E7A"/>
    <w:rsid w:val="00E95391"/>
    <w:rsid w:val="00E955C3"/>
    <w:rsid w:val="00E95787"/>
    <w:rsid w:val="00EA03AD"/>
    <w:rsid w:val="00EA1EB2"/>
    <w:rsid w:val="00EA2B98"/>
    <w:rsid w:val="00EA3B2B"/>
    <w:rsid w:val="00EA444D"/>
    <w:rsid w:val="00EA4FEE"/>
    <w:rsid w:val="00EA583A"/>
    <w:rsid w:val="00EB06BF"/>
    <w:rsid w:val="00EB1359"/>
    <w:rsid w:val="00EB1BF5"/>
    <w:rsid w:val="00EB2122"/>
    <w:rsid w:val="00EB2739"/>
    <w:rsid w:val="00EB3C74"/>
    <w:rsid w:val="00EB5465"/>
    <w:rsid w:val="00EB59E5"/>
    <w:rsid w:val="00EC666B"/>
    <w:rsid w:val="00EC7DC4"/>
    <w:rsid w:val="00ED1856"/>
    <w:rsid w:val="00ED266A"/>
    <w:rsid w:val="00ED44C6"/>
    <w:rsid w:val="00ED4DE6"/>
    <w:rsid w:val="00ED5680"/>
    <w:rsid w:val="00ED63D2"/>
    <w:rsid w:val="00ED72E8"/>
    <w:rsid w:val="00ED7E24"/>
    <w:rsid w:val="00EE4EF1"/>
    <w:rsid w:val="00EE6204"/>
    <w:rsid w:val="00EE6C42"/>
    <w:rsid w:val="00EF1721"/>
    <w:rsid w:val="00EF1FAD"/>
    <w:rsid w:val="00EF1FB8"/>
    <w:rsid w:val="00EF42CD"/>
    <w:rsid w:val="00EF53AF"/>
    <w:rsid w:val="00EF70DD"/>
    <w:rsid w:val="00F00FBE"/>
    <w:rsid w:val="00F019C0"/>
    <w:rsid w:val="00F04D18"/>
    <w:rsid w:val="00F04E62"/>
    <w:rsid w:val="00F102FE"/>
    <w:rsid w:val="00F112D7"/>
    <w:rsid w:val="00F12AB1"/>
    <w:rsid w:val="00F12EAB"/>
    <w:rsid w:val="00F14111"/>
    <w:rsid w:val="00F1459B"/>
    <w:rsid w:val="00F14C9A"/>
    <w:rsid w:val="00F153F4"/>
    <w:rsid w:val="00F15433"/>
    <w:rsid w:val="00F17BFF"/>
    <w:rsid w:val="00F21A2A"/>
    <w:rsid w:val="00F21A43"/>
    <w:rsid w:val="00F24405"/>
    <w:rsid w:val="00F26610"/>
    <w:rsid w:val="00F32302"/>
    <w:rsid w:val="00F34711"/>
    <w:rsid w:val="00F34D96"/>
    <w:rsid w:val="00F353F7"/>
    <w:rsid w:val="00F35AB2"/>
    <w:rsid w:val="00F36112"/>
    <w:rsid w:val="00F3666F"/>
    <w:rsid w:val="00F3761C"/>
    <w:rsid w:val="00F37D55"/>
    <w:rsid w:val="00F40155"/>
    <w:rsid w:val="00F4170C"/>
    <w:rsid w:val="00F41E4F"/>
    <w:rsid w:val="00F44604"/>
    <w:rsid w:val="00F447C8"/>
    <w:rsid w:val="00F44FDC"/>
    <w:rsid w:val="00F463A8"/>
    <w:rsid w:val="00F50A25"/>
    <w:rsid w:val="00F53844"/>
    <w:rsid w:val="00F5409A"/>
    <w:rsid w:val="00F557CC"/>
    <w:rsid w:val="00F56A18"/>
    <w:rsid w:val="00F56A61"/>
    <w:rsid w:val="00F56FAD"/>
    <w:rsid w:val="00F57A98"/>
    <w:rsid w:val="00F6014E"/>
    <w:rsid w:val="00F60D2A"/>
    <w:rsid w:val="00F61720"/>
    <w:rsid w:val="00F6175D"/>
    <w:rsid w:val="00F6220A"/>
    <w:rsid w:val="00F630AD"/>
    <w:rsid w:val="00F63A33"/>
    <w:rsid w:val="00F64680"/>
    <w:rsid w:val="00F65473"/>
    <w:rsid w:val="00F66806"/>
    <w:rsid w:val="00F66C0E"/>
    <w:rsid w:val="00F66DEF"/>
    <w:rsid w:val="00F70245"/>
    <w:rsid w:val="00F70E4D"/>
    <w:rsid w:val="00F71BE0"/>
    <w:rsid w:val="00F72C75"/>
    <w:rsid w:val="00F736F0"/>
    <w:rsid w:val="00F742DF"/>
    <w:rsid w:val="00F7551E"/>
    <w:rsid w:val="00F7688A"/>
    <w:rsid w:val="00F81D40"/>
    <w:rsid w:val="00F847DB"/>
    <w:rsid w:val="00F84895"/>
    <w:rsid w:val="00F851DD"/>
    <w:rsid w:val="00F857B3"/>
    <w:rsid w:val="00F86419"/>
    <w:rsid w:val="00F86482"/>
    <w:rsid w:val="00F86494"/>
    <w:rsid w:val="00F87ED7"/>
    <w:rsid w:val="00F9293E"/>
    <w:rsid w:val="00F92CFB"/>
    <w:rsid w:val="00F93168"/>
    <w:rsid w:val="00F94877"/>
    <w:rsid w:val="00F94F26"/>
    <w:rsid w:val="00F96449"/>
    <w:rsid w:val="00F977C2"/>
    <w:rsid w:val="00FA167A"/>
    <w:rsid w:val="00FA1BA7"/>
    <w:rsid w:val="00FA33AE"/>
    <w:rsid w:val="00FA4913"/>
    <w:rsid w:val="00FA539D"/>
    <w:rsid w:val="00FA5B3E"/>
    <w:rsid w:val="00FA6732"/>
    <w:rsid w:val="00FB5C8B"/>
    <w:rsid w:val="00FB6B03"/>
    <w:rsid w:val="00FB7132"/>
    <w:rsid w:val="00FC0FD6"/>
    <w:rsid w:val="00FC2D44"/>
    <w:rsid w:val="00FC30EE"/>
    <w:rsid w:val="00FC4221"/>
    <w:rsid w:val="00FC52A1"/>
    <w:rsid w:val="00FC61EE"/>
    <w:rsid w:val="00FC75B0"/>
    <w:rsid w:val="00FC7653"/>
    <w:rsid w:val="00FC79F3"/>
    <w:rsid w:val="00FC7F57"/>
    <w:rsid w:val="00FD0D05"/>
    <w:rsid w:val="00FD294E"/>
    <w:rsid w:val="00FD31FC"/>
    <w:rsid w:val="00FD6506"/>
    <w:rsid w:val="00FD6D10"/>
    <w:rsid w:val="00FE0AE1"/>
    <w:rsid w:val="00FE0E91"/>
    <w:rsid w:val="00FE2490"/>
    <w:rsid w:val="00FE280F"/>
    <w:rsid w:val="00FF0133"/>
    <w:rsid w:val="00FF35DE"/>
    <w:rsid w:val="00FF4AC7"/>
    <w:rsid w:val="00FF53B2"/>
    <w:rsid w:val="00FF5B0B"/>
    <w:rsid w:val="00FF668D"/>
    <w:rsid w:val="0232372D"/>
    <w:rsid w:val="036439CE"/>
    <w:rsid w:val="046763FB"/>
    <w:rsid w:val="058B549B"/>
    <w:rsid w:val="05D13AC9"/>
    <w:rsid w:val="073613E7"/>
    <w:rsid w:val="08086333"/>
    <w:rsid w:val="09B25093"/>
    <w:rsid w:val="09FE7A88"/>
    <w:rsid w:val="0A821835"/>
    <w:rsid w:val="0BF84E2F"/>
    <w:rsid w:val="0C2A16FC"/>
    <w:rsid w:val="0C3C77C2"/>
    <w:rsid w:val="0D556D83"/>
    <w:rsid w:val="0DAB25A8"/>
    <w:rsid w:val="100D6C71"/>
    <w:rsid w:val="11586E4C"/>
    <w:rsid w:val="11BD4529"/>
    <w:rsid w:val="128F7203"/>
    <w:rsid w:val="18BC1320"/>
    <w:rsid w:val="18F71640"/>
    <w:rsid w:val="19134BDC"/>
    <w:rsid w:val="1B554C61"/>
    <w:rsid w:val="1B9C101E"/>
    <w:rsid w:val="1ECE697E"/>
    <w:rsid w:val="1FB76590"/>
    <w:rsid w:val="1FD06C40"/>
    <w:rsid w:val="203717D3"/>
    <w:rsid w:val="239C52BE"/>
    <w:rsid w:val="23DA1943"/>
    <w:rsid w:val="255D6CCF"/>
    <w:rsid w:val="257839F6"/>
    <w:rsid w:val="26326B9E"/>
    <w:rsid w:val="27131568"/>
    <w:rsid w:val="286717CA"/>
    <w:rsid w:val="29332221"/>
    <w:rsid w:val="2A7C7032"/>
    <w:rsid w:val="2B0A0FFF"/>
    <w:rsid w:val="2B876854"/>
    <w:rsid w:val="2BD879F5"/>
    <w:rsid w:val="2BE75544"/>
    <w:rsid w:val="2DB15421"/>
    <w:rsid w:val="2F25260C"/>
    <w:rsid w:val="2F3F4207"/>
    <w:rsid w:val="30BB3C9C"/>
    <w:rsid w:val="30CC1A97"/>
    <w:rsid w:val="311847FF"/>
    <w:rsid w:val="31456F95"/>
    <w:rsid w:val="341E587B"/>
    <w:rsid w:val="34637732"/>
    <w:rsid w:val="34FA2011"/>
    <w:rsid w:val="3555351F"/>
    <w:rsid w:val="368B41AA"/>
    <w:rsid w:val="38C42631"/>
    <w:rsid w:val="3BBD302A"/>
    <w:rsid w:val="3F593C0C"/>
    <w:rsid w:val="3F817E39"/>
    <w:rsid w:val="412A1D04"/>
    <w:rsid w:val="422B48C1"/>
    <w:rsid w:val="42EE0B04"/>
    <w:rsid w:val="439D284F"/>
    <w:rsid w:val="46A779D5"/>
    <w:rsid w:val="46E7347A"/>
    <w:rsid w:val="4AC44715"/>
    <w:rsid w:val="4AE25FEA"/>
    <w:rsid w:val="4AFC3135"/>
    <w:rsid w:val="4B99036E"/>
    <w:rsid w:val="4C515B65"/>
    <w:rsid w:val="4D1B0752"/>
    <w:rsid w:val="4D1C1287"/>
    <w:rsid w:val="4DA805BD"/>
    <w:rsid w:val="4E1B00C3"/>
    <w:rsid w:val="504601DC"/>
    <w:rsid w:val="51522E2C"/>
    <w:rsid w:val="51DE4991"/>
    <w:rsid w:val="551E7032"/>
    <w:rsid w:val="55652AF3"/>
    <w:rsid w:val="55C27CFF"/>
    <w:rsid w:val="55D91CC2"/>
    <w:rsid w:val="56C10E59"/>
    <w:rsid w:val="57555BD4"/>
    <w:rsid w:val="57725A42"/>
    <w:rsid w:val="58E47442"/>
    <w:rsid w:val="5A050DA4"/>
    <w:rsid w:val="5BEC1A5C"/>
    <w:rsid w:val="5C5F42BE"/>
    <w:rsid w:val="5DA6359E"/>
    <w:rsid w:val="5DDC0EE4"/>
    <w:rsid w:val="5E473A9D"/>
    <w:rsid w:val="61EF2482"/>
    <w:rsid w:val="621D7681"/>
    <w:rsid w:val="637C7D45"/>
    <w:rsid w:val="641C5C87"/>
    <w:rsid w:val="64E35987"/>
    <w:rsid w:val="653C3584"/>
    <w:rsid w:val="665912BD"/>
    <w:rsid w:val="6692162D"/>
    <w:rsid w:val="68C84623"/>
    <w:rsid w:val="68CA77A4"/>
    <w:rsid w:val="69A973BA"/>
    <w:rsid w:val="6B486135"/>
    <w:rsid w:val="716C52CF"/>
    <w:rsid w:val="736B1B84"/>
    <w:rsid w:val="7542536D"/>
    <w:rsid w:val="75F6664F"/>
    <w:rsid w:val="77152E4B"/>
    <w:rsid w:val="779B0C71"/>
    <w:rsid w:val="788C7BCB"/>
    <w:rsid w:val="7A5B1192"/>
    <w:rsid w:val="7ADE5C24"/>
    <w:rsid w:val="7B1B3E90"/>
    <w:rsid w:val="7F7141D8"/>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100" w:beforeAutospacing="1" w:after="100" w:afterAutospacing="1" w:line="360" w:lineRule="auto"/>
      <w:ind w:firstLine="1400" w:firstLineChars="500"/>
      <w:outlineLvl w:val="0"/>
    </w:pPr>
    <w:rPr>
      <w:color w:val="FF0000"/>
      <w:sz w:val="28"/>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color w:val="00000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1"/>
        <w:numId w:val="1"/>
      </w:numPr>
      <w:tabs>
        <w:tab w:val="left" w:pos="0"/>
      </w:tab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0"/>
    <w:pPr>
      <w:ind w:left="210" w:hanging="210"/>
      <w:jc w:val="left"/>
    </w:pPr>
    <w:rPr>
      <w:rFonts w:ascii="Calibri" w:hAnsi="Calibri"/>
      <w:sz w:val="20"/>
      <w:szCs w:val="20"/>
    </w:rPr>
  </w:style>
  <w:style w:type="paragraph" w:styleId="13">
    <w:name w:val="Normal Indent"/>
    <w:basedOn w:val="1"/>
    <w:qFormat/>
    <w:uiPriority w:val="0"/>
    <w:pPr>
      <w:ind w:firstLine="420"/>
    </w:pPr>
    <w:rPr>
      <w:szCs w:val="20"/>
    </w:rPr>
  </w:style>
  <w:style w:type="paragraph" w:styleId="14">
    <w:name w:val="Document Map"/>
    <w:basedOn w:val="1"/>
    <w:semiHidden/>
    <w:qFormat/>
    <w:uiPriority w:val="0"/>
    <w:pPr>
      <w:shd w:val="clear" w:color="auto" w:fill="000080"/>
    </w:pPr>
  </w:style>
  <w:style w:type="paragraph" w:styleId="15">
    <w:name w:val="toa heading"/>
    <w:basedOn w:val="1"/>
    <w:next w:val="1"/>
    <w:qFormat/>
    <w:uiPriority w:val="0"/>
    <w:pPr>
      <w:spacing w:before="240" w:after="120"/>
      <w:jc w:val="center"/>
    </w:pPr>
    <w:rPr>
      <w:rFonts w:ascii="Calibri" w:hAnsi="Calibri" w:cs="Arial"/>
      <w:smallCaps/>
      <w:sz w:val="22"/>
      <w:szCs w:val="22"/>
      <w:u w:val="single"/>
    </w:rPr>
  </w:style>
  <w:style w:type="paragraph" w:styleId="16">
    <w:name w:val="annotation text"/>
    <w:basedOn w:val="1"/>
    <w:semiHidden/>
    <w:qFormat/>
    <w:uiPriority w:val="0"/>
    <w:pPr>
      <w:jc w:val="left"/>
    </w:pPr>
  </w:style>
  <w:style w:type="paragraph" w:styleId="17">
    <w:name w:val="Body Text 3"/>
    <w:basedOn w:val="1"/>
    <w:link w:val="60"/>
    <w:qFormat/>
    <w:uiPriority w:val="0"/>
    <w:pPr>
      <w:spacing w:after="120"/>
    </w:pPr>
    <w:rPr>
      <w:sz w:val="16"/>
      <w:szCs w:val="16"/>
    </w:rPr>
  </w:style>
  <w:style w:type="paragraph" w:styleId="18">
    <w:name w:val="Body Text"/>
    <w:basedOn w:val="1"/>
    <w:link w:val="64"/>
    <w:unhideWhenUsed/>
    <w:qFormat/>
    <w:uiPriority w:val="0"/>
    <w:pPr>
      <w:spacing w:after="120"/>
    </w:pPr>
  </w:style>
  <w:style w:type="paragraph" w:styleId="19">
    <w:name w:val="Body Text Indent"/>
    <w:basedOn w:val="1"/>
    <w:semiHidden/>
    <w:qFormat/>
    <w:uiPriority w:val="0"/>
    <w:pPr>
      <w:spacing w:line="360" w:lineRule="auto"/>
      <w:ind w:firstLine="420" w:firstLineChars="175"/>
    </w:pPr>
    <w:rPr>
      <w:sz w:val="24"/>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semiHidden/>
    <w:qFormat/>
    <w:uiPriority w:val="0"/>
    <w:rPr>
      <w:rFonts w:ascii="宋体" w:hAnsi="Courier New"/>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semiHidden/>
    <w:qFormat/>
    <w:uiPriority w:val="0"/>
    <w:rPr>
      <w:sz w:val="32"/>
      <w:szCs w:val="20"/>
    </w:rPr>
  </w:style>
  <w:style w:type="paragraph" w:styleId="25">
    <w:name w:val="Body Text Indent 2"/>
    <w:basedOn w:val="1"/>
    <w:qFormat/>
    <w:uiPriority w:val="0"/>
    <w:pPr>
      <w:spacing w:after="120" w:line="480" w:lineRule="auto"/>
      <w:ind w:left="420" w:leftChars="200"/>
    </w:pPr>
    <w:rPr>
      <w:szCs w:val="20"/>
    </w:rPr>
  </w:style>
  <w:style w:type="paragraph" w:styleId="26">
    <w:name w:val="Balloon Text"/>
    <w:basedOn w:val="1"/>
    <w:semiHidden/>
    <w:qFormat/>
    <w:uiPriority w:val="0"/>
    <w:rPr>
      <w:sz w:val="18"/>
      <w:szCs w:val="18"/>
    </w:rPr>
  </w:style>
  <w:style w:type="paragraph" w:styleId="27">
    <w:name w:val="footer"/>
    <w:basedOn w:val="1"/>
    <w:link w:val="59"/>
    <w:qFormat/>
    <w:uiPriority w:val="99"/>
    <w:pPr>
      <w:tabs>
        <w:tab w:val="center" w:pos="4153"/>
        <w:tab w:val="right" w:pos="8306"/>
      </w:tabs>
      <w:snapToGrid w:val="0"/>
      <w:jc w:val="left"/>
    </w:pPr>
    <w:rPr>
      <w:sz w:val="18"/>
      <w:szCs w:val="18"/>
    </w:rPr>
  </w:style>
  <w:style w:type="paragraph" w:styleId="28">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57"/>
    <w:semiHidden/>
    <w:qFormat/>
    <w:uiPriority w:val="0"/>
    <w:pPr>
      <w:widowControl/>
    </w:pPr>
    <w:rPr>
      <w:rFonts w:ascii="Tahoma" w:hAnsi="Tahoma"/>
      <w:color w:val="000000"/>
      <w:sz w:val="24"/>
      <w:szCs w:val="28"/>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62"/>
    <w:qFormat/>
    <w:uiPriority w:val="0"/>
    <w:pPr>
      <w:spacing w:after="120"/>
      <w:ind w:left="420" w:leftChars="200"/>
    </w:pPr>
    <w:rPr>
      <w:sz w:val="16"/>
      <w:szCs w:val="16"/>
    </w:r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61"/>
    <w:qFormat/>
    <w:uiPriority w:val="0"/>
    <w:pPr>
      <w:spacing w:before="240" w:after="60"/>
      <w:jc w:val="center"/>
      <w:outlineLvl w:val="0"/>
    </w:pPr>
    <w:rPr>
      <w:rFonts w:ascii="Cambria" w:hAnsi="Cambria"/>
      <w:b/>
      <w:bCs/>
      <w:sz w:val="32"/>
      <w:szCs w:val="32"/>
    </w:rPr>
  </w:style>
  <w:style w:type="paragraph" w:styleId="38">
    <w:name w:val="annotation subject"/>
    <w:basedOn w:val="16"/>
    <w:next w:val="16"/>
    <w:semiHidden/>
    <w:qFormat/>
    <w:uiPriority w:val="0"/>
    <w:rPr>
      <w:rFonts w:ascii="Calibri" w:hAnsi="Calibri"/>
      <w:b/>
      <w:bCs/>
      <w:szCs w:val="22"/>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rFonts w:ascii="Tahoma" w:hAnsi="Tahoma" w:eastAsia="宋体"/>
      <w:color w:val="800080"/>
      <w:kern w:val="2"/>
      <w:sz w:val="28"/>
      <w:szCs w:val="28"/>
      <w:u w:val="single"/>
      <w:lang w:val="en-US" w:eastAsia="zh-CN" w:bidi="ar-SA"/>
    </w:rPr>
  </w:style>
  <w:style w:type="character" w:styleId="44">
    <w:name w:val="Hyperlink"/>
    <w:qFormat/>
    <w:uiPriority w:val="99"/>
    <w:rPr>
      <w:rFonts w:ascii="Tahoma" w:hAnsi="Tahoma" w:eastAsia="宋体"/>
      <w:color w:val="0000FF"/>
      <w:kern w:val="2"/>
      <w:sz w:val="28"/>
      <w:szCs w:val="28"/>
      <w:u w:val="single"/>
      <w:lang w:val="en-US" w:eastAsia="zh-CN" w:bidi="ar-SA"/>
    </w:rPr>
  </w:style>
  <w:style w:type="paragraph" w:customStyle="1" w:styleId="45">
    <w:name w:val="正文-公1"/>
    <w:basedOn w:val="1"/>
    <w:qFormat/>
    <w:uiPriority w:val="0"/>
    <w:pPr>
      <w:ind w:firstLine="200" w:firstLineChars="200"/>
    </w:pPr>
  </w:style>
  <w:style w:type="paragraph" w:customStyle="1" w:styleId="46">
    <w:name w:val="Default"/>
    <w:basedOn w:val="47"/>
    <w:next w:val="1"/>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47">
    <w:name w:val="正文（首行缩进两字）"/>
    <w:basedOn w:val="1"/>
    <w:qFormat/>
    <w:uiPriority w:val="0"/>
    <w:rPr>
      <w:szCs w:val="21"/>
    </w:rPr>
  </w:style>
  <w:style w:type="paragraph" w:customStyle="1" w:styleId="48">
    <w:name w:val="样式 样式 样式 正文文本 + 首行缩进:  2 字符1 + 首行缩进:  2 字符1 + 首行缩进:  2 字符"/>
    <w:basedOn w:val="1"/>
    <w:qFormat/>
    <w:uiPriority w:val="0"/>
    <w:pPr>
      <w:autoSpaceDE w:val="0"/>
      <w:autoSpaceDN w:val="0"/>
      <w:adjustRightInd w:val="0"/>
      <w:spacing w:line="360" w:lineRule="auto"/>
      <w:ind w:firstLine="200" w:firstLineChars="200"/>
    </w:pPr>
    <w:rPr>
      <w:rFonts w:cs="宋体"/>
      <w:kern w:val="0"/>
      <w:sz w:val="28"/>
      <w:szCs w:val="20"/>
      <w:lang w:val="zh-CN"/>
    </w:rPr>
  </w:style>
  <w:style w:type="paragraph" w:customStyle="1" w:styleId="49">
    <w:name w:val="Char"/>
    <w:basedOn w:val="1"/>
    <w:qFormat/>
    <w:uiPriority w:val="0"/>
    <w:pPr>
      <w:spacing w:line="360" w:lineRule="auto"/>
    </w:pPr>
    <w:rPr>
      <w:rFonts w:ascii="宋体" w:hAnsi="宋体"/>
      <w:b/>
      <w:bCs/>
      <w:sz w:val="30"/>
      <w:szCs w:val="30"/>
    </w:rPr>
  </w:style>
  <w:style w:type="paragraph" w:customStyle="1" w:styleId="5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Char2"/>
    <w:basedOn w:val="14"/>
    <w:qFormat/>
    <w:uiPriority w:val="0"/>
    <w:pPr>
      <w:adjustRightInd w:val="0"/>
      <w:snapToGrid w:val="0"/>
      <w:spacing w:line="360" w:lineRule="auto"/>
    </w:pPr>
    <w:rPr>
      <w:rFonts w:ascii="Tahoma" w:hAnsi="Tahoma"/>
      <w:color w:val="000000"/>
      <w:sz w:val="28"/>
      <w:szCs w:val="28"/>
    </w:rPr>
  </w:style>
  <w:style w:type="paragraph" w:customStyle="1" w:styleId="52">
    <w:name w:val="Char Char"/>
    <w:basedOn w:val="1"/>
    <w:qFormat/>
    <w:uiPriority w:val="0"/>
    <w:rPr>
      <w:rFonts w:ascii="Tahoma" w:hAnsi="Tahoma"/>
      <w:sz w:val="24"/>
    </w:rPr>
  </w:style>
  <w:style w:type="paragraph" w:customStyle="1" w:styleId="53">
    <w:name w:val="标题4"/>
    <w:basedOn w:val="1"/>
    <w:next w:val="6"/>
    <w:qFormat/>
    <w:uiPriority w:val="0"/>
    <w:pPr>
      <w:ind w:left="-171" w:leftChars="-171" w:hanging="358" w:hangingChars="128"/>
    </w:pPr>
    <w:rPr>
      <w:rFonts w:ascii="宋体" w:hAnsi="宋体"/>
      <w:sz w:val="28"/>
      <w:szCs w:val="28"/>
    </w:rPr>
  </w:style>
  <w:style w:type="paragraph" w:customStyle="1" w:styleId="54">
    <w:name w:val="style7"/>
    <w:basedOn w:val="1"/>
    <w:qFormat/>
    <w:uiPriority w:val="0"/>
    <w:pPr>
      <w:widowControl/>
      <w:spacing w:before="100" w:beforeAutospacing="1" w:after="100" w:afterAutospacing="1" w:line="270" w:lineRule="atLeast"/>
      <w:jc w:val="left"/>
    </w:pPr>
    <w:rPr>
      <w:rFonts w:ascii="宋体" w:hAnsi="宋体" w:cs="宋体"/>
      <w:color w:val="333333"/>
      <w:kern w:val="0"/>
      <w:sz w:val="18"/>
      <w:szCs w:val="18"/>
    </w:rPr>
  </w:style>
  <w:style w:type="paragraph" w:customStyle="1" w:styleId="55">
    <w:name w:val="列出段落1"/>
    <w:basedOn w:val="1"/>
    <w:qFormat/>
    <w:uiPriority w:val="34"/>
    <w:pPr>
      <w:ind w:firstLine="420" w:firstLineChars="200"/>
    </w:pPr>
    <w:rPr>
      <w:rFonts w:ascii="Calibri" w:hAnsi="Calibri"/>
      <w:szCs w:val="22"/>
    </w:rPr>
  </w:style>
  <w:style w:type="paragraph" w:customStyle="1" w:styleId="56">
    <w:name w:val="TOC 标题1"/>
    <w:basedOn w:val="2"/>
    <w:next w:val="1"/>
    <w:unhideWhenUsed/>
    <w:qFormat/>
    <w:uiPriority w:val="39"/>
    <w:pPr>
      <w:keepLines/>
      <w:widowControl/>
      <w:spacing w:before="480" w:beforeAutospacing="0" w:after="0" w:afterAutospacing="0" w:line="276" w:lineRule="auto"/>
      <w:ind w:firstLine="0" w:firstLineChars="0"/>
      <w:jc w:val="left"/>
      <w:outlineLvl w:val="9"/>
    </w:pPr>
    <w:rPr>
      <w:rFonts w:ascii="Cambria" w:hAnsi="Cambria"/>
      <w:b/>
      <w:bCs/>
      <w:color w:val="365F91"/>
      <w:kern w:val="0"/>
      <w:szCs w:val="28"/>
    </w:rPr>
  </w:style>
  <w:style w:type="character" w:customStyle="1" w:styleId="57">
    <w:name w:val="脚注文本 Char"/>
    <w:link w:val="31"/>
    <w:qFormat/>
    <w:uiPriority w:val="0"/>
    <w:rPr>
      <w:rFonts w:ascii="Tahoma" w:hAnsi="Tahoma" w:eastAsia="宋体"/>
      <w:color w:val="000000"/>
      <w:kern w:val="2"/>
      <w:sz w:val="24"/>
      <w:szCs w:val="28"/>
      <w:lang w:bidi="ar-SA"/>
    </w:rPr>
  </w:style>
  <w:style w:type="character" w:customStyle="1" w:styleId="58">
    <w:name w:val="标题 2 Char"/>
    <w:link w:val="3"/>
    <w:qFormat/>
    <w:uiPriority w:val="0"/>
    <w:rPr>
      <w:rFonts w:ascii="Arial" w:hAnsi="Arial" w:eastAsia="黑体"/>
      <w:b/>
      <w:bCs/>
      <w:color w:val="000000"/>
      <w:kern w:val="2"/>
      <w:sz w:val="32"/>
      <w:szCs w:val="32"/>
      <w:lang w:val="en-US" w:eastAsia="zh-CN" w:bidi="ar-SA"/>
    </w:rPr>
  </w:style>
  <w:style w:type="character" w:customStyle="1" w:styleId="59">
    <w:name w:val="页脚 Char"/>
    <w:basedOn w:val="41"/>
    <w:link w:val="27"/>
    <w:qFormat/>
    <w:uiPriority w:val="99"/>
    <w:rPr>
      <w:sz w:val="18"/>
      <w:szCs w:val="18"/>
    </w:rPr>
  </w:style>
  <w:style w:type="character" w:customStyle="1" w:styleId="60">
    <w:name w:val="正文文本 3 Char"/>
    <w:basedOn w:val="41"/>
    <w:link w:val="17"/>
    <w:qFormat/>
    <w:uiPriority w:val="0"/>
    <w:rPr>
      <w:sz w:val="16"/>
      <w:szCs w:val="16"/>
    </w:rPr>
  </w:style>
  <w:style w:type="character" w:customStyle="1" w:styleId="61">
    <w:name w:val="标题 Char"/>
    <w:basedOn w:val="41"/>
    <w:link w:val="37"/>
    <w:qFormat/>
    <w:uiPriority w:val="0"/>
    <w:rPr>
      <w:rFonts w:ascii="Cambria" w:hAnsi="Cambria" w:cs="Times New Roman"/>
      <w:b/>
      <w:bCs/>
      <w:sz w:val="32"/>
      <w:szCs w:val="32"/>
    </w:rPr>
  </w:style>
  <w:style w:type="character" w:customStyle="1" w:styleId="62">
    <w:name w:val="正文文本缩进 3 Char"/>
    <w:basedOn w:val="41"/>
    <w:link w:val="33"/>
    <w:qFormat/>
    <w:uiPriority w:val="0"/>
    <w:rPr>
      <w:sz w:val="16"/>
      <w:szCs w:val="16"/>
    </w:rPr>
  </w:style>
  <w:style w:type="character" w:customStyle="1" w:styleId="63">
    <w:name w:val="页眉 Char"/>
    <w:basedOn w:val="41"/>
    <w:link w:val="28"/>
    <w:qFormat/>
    <w:uiPriority w:val="99"/>
    <w:rPr>
      <w:sz w:val="18"/>
      <w:szCs w:val="18"/>
    </w:rPr>
  </w:style>
  <w:style w:type="character" w:customStyle="1" w:styleId="64">
    <w:name w:val="正文文本 Char"/>
    <w:basedOn w:val="41"/>
    <w:link w:val="18"/>
    <w:qFormat/>
    <w:uiPriority w:val="0"/>
    <w:rPr>
      <w:sz w:val="21"/>
      <w:szCs w:val="24"/>
    </w:rPr>
  </w:style>
  <w:style w:type="character" w:customStyle="1" w:styleId="65">
    <w:name w:val="表格正文 Char"/>
    <w:link w:val="66"/>
    <w:qFormat/>
    <w:locked/>
    <w:uiPriority w:val="0"/>
    <w:rPr>
      <w:color w:val="000000"/>
      <w:kern w:val="2"/>
      <w:sz w:val="21"/>
      <w:szCs w:val="24"/>
    </w:rPr>
  </w:style>
  <w:style w:type="paragraph" w:customStyle="1" w:styleId="66">
    <w:name w:val="表格正文"/>
    <w:basedOn w:val="1"/>
    <w:link w:val="65"/>
    <w:qFormat/>
    <w:uiPriority w:val="0"/>
    <w:pPr>
      <w:spacing w:line="360" w:lineRule="exact"/>
      <w:jc w:val="center"/>
    </w:pPr>
    <w:rPr>
      <w:color w:val="000000"/>
    </w:rPr>
  </w:style>
  <w:style w:type="paragraph" w:customStyle="1" w:styleId="67">
    <w:name w:val="Plain Text1"/>
    <w:basedOn w:val="1"/>
    <w:qFormat/>
    <w:uiPriority w:val="0"/>
    <w:rPr>
      <w:rFonts w:ascii="宋体" w:hAnsi="Courier New" w:cs="Courier New"/>
      <w:szCs w:val="21"/>
    </w:rPr>
  </w:style>
  <w:style w:type="paragraph" w:customStyle="1" w:styleId="68">
    <w:name w:val="Body text|1"/>
    <w:basedOn w:val="1"/>
    <w:qFormat/>
    <w:uiPriority w:val="0"/>
    <w:pPr>
      <w:widowControl w:val="0"/>
      <w:shd w:val="clear" w:color="auto" w:fill="auto"/>
      <w:spacing w:line="47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0aac5eaf-cb85-4b88-8851-06453b71c61a">UNVWS7PS6SZP-1682154732-1313768</_dlc_DocId>
    <_dlc_DocIdUrl xmlns="0aac5eaf-cb85-4b88-8851-06453b71c61a">
      <Url>http://oa.geely.com/sites/bpmdocs3/_layouts/15/DocIdRedir.aspx?ID=UNVWS7PS6SZP-1682154732-1313768</Url>
      <Description>UNVWS7PS6SZP-1682154732-1313768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4F1DB2D6B12C404FBD698776824A2A85" ma:contentTypeVersion="1" ma:contentTypeDescription="新建文档。" ma:contentTypeScope="" ma:versionID="ea2828426d53c28635b5f014f73ccdb1">
  <xsd:schema xmlns:xsd="http://www.w3.org/2001/XMLSchema" xmlns:xs="http://www.w3.org/2001/XMLSchema" xmlns:p="http://schemas.microsoft.com/office/2006/metadata/properties" xmlns:ns2="0aac5eaf-cb85-4b88-8851-06453b71c61a" targetNamespace="http://schemas.microsoft.com/office/2006/metadata/properties" ma:root="true" ma:fieldsID="e7e721062b3922304ca9d215ec86d64d" ns2:_="">
    <xsd:import namespace="0aac5eaf-cb85-4b88-8851-06453b71c61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eaf-cb85-4b88-8851-06453b71c61a"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0C33D-EBBF-40F2-B738-B024B11BFCF1}">
  <ds:schemaRefs/>
</ds:datastoreItem>
</file>

<file path=customXml/itemProps3.xml><?xml version="1.0" encoding="utf-8"?>
<ds:datastoreItem xmlns:ds="http://schemas.openxmlformats.org/officeDocument/2006/customXml" ds:itemID="{B1977F7D-205B-4081-913C-38D41E755F92}">
  <ds:schemaRefs/>
</ds:datastoreItem>
</file>

<file path=customXml/itemProps4.xml><?xml version="1.0" encoding="utf-8"?>
<ds:datastoreItem xmlns:ds="http://schemas.openxmlformats.org/officeDocument/2006/customXml" ds:itemID="{B81BFC40-E4E9-449C-A610-8AC6F27AC439}">
  <ds:schemaRefs/>
</ds:datastoreItem>
</file>

<file path=customXml/itemProps5.xml><?xml version="1.0" encoding="utf-8"?>
<ds:datastoreItem xmlns:ds="http://schemas.openxmlformats.org/officeDocument/2006/customXml" ds:itemID="{0920EFF8-046B-40DC-BF9A-5657C72842D4}">
  <ds:schemaRefs/>
</ds:datastoreItem>
</file>

<file path=customXml/itemProps6.xml><?xml version="1.0" encoding="utf-8"?>
<ds:datastoreItem xmlns:ds="http://schemas.openxmlformats.org/officeDocument/2006/customXml" ds:itemID="{2C5F3E39-B008-4CB3-B071-155E18CD7D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730</Words>
  <Characters>749</Characters>
  <Lines>10</Lines>
  <Paragraphs>2</Paragraphs>
  <TotalTime>3</TotalTime>
  <ScaleCrop>false</ScaleCrop>
  <LinksUpToDate>false</LinksUpToDate>
  <CharactersWithSpaces>770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2013-06-03T02:08:00Z</dcterms:created>
  <dc:creator>谭艳军</dc:creator>
  <cp:lastModifiedBy>梁馨尹</cp:lastModifiedBy>
  <cp:lastPrinted>2021-04-26T02:48:00Z</cp:lastPrinted>
  <dcterms:modified xsi:type="dcterms:W3CDTF">2023-10-19T07:14:32Z</dcterms:modified>
  <dc:title>6MT-1项目技术任务书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ntentTypeId">
    <vt:lpwstr>0x0101004F1DB2D6B12C404FBD698776824A2A85</vt:lpwstr>
  </property>
  <property fmtid="{D5CDD505-2E9C-101B-9397-08002B2CF9AE}" pid="4" name="_dlc_DocIdItemGuid">
    <vt:lpwstr>6c6ab1e0-45ac-4960-b3a8-c44bf224eeec</vt:lpwstr>
  </property>
  <property fmtid="{D5CDD505-2E9C-101B-9397-08002B2CF9AE}" pid="5" name="ICV">
    <vt:lpwstr>B11201149ECF423F86F2C782A66E7882</vt:lpwstr>
  </property>
</Properties>
</file>