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sz w:val="44"/>
          <w:szCs w:val="44"/>
        </w:rPr>
      </w:pPr>
      <w:r>
        <w:rPr>
          <w:rFonts w:hint="eastAsia" w:ascii="微软雅黑" w:hAnsi="微软雅黑" w:eastAsia="微软雅黑" w:cs="微软雅黑"/>
          <w:b/>
          <w:sz w:val="44"/>
          <w:szCs w:val="44"/>
          <w:lang w:val="en-US" w:eastAsia="zh-CN"/>
        </w:rPr>
        <w:t>靖西市锰矿有限责任公司2023年防火门采购及安装项目</w:t>
      </w:r>
      <w:r>
        <w:rPr>
          <w:rFonts w:hint="eastAsia" w:ascii="微软雅黑" w:hAnsi="微软雅黑" w:eastAsia="微软雅黑" w:cs="微软雅黑"/>
          <w:b/>
          <w:sz w:val="44"/>
          <w:szCs w:val="44"/>
        </w:rPr>
        <w:t>招标公告</w:t>
      </w:r>
    </w:p>
    <w:p>
      <w:pPr>
        <w:pStyle w:val="2"/>
        <w:rPr>
          <w:rFonts w:hint="eastAsia" w:ascii="微软雅黑" w:hAnsi="微软雅黑" w:eastAsia="微软雅黑" w:cs="微软雅黑"/>
        </w:rPr>
      </w:pPr>
    </w:p>
    <w:p>
      <w:pPr>
        <w:spacing w:line="440" w:lineRule="exact"/>
        <w:jc w:val="center"/>
        <w:rPr>
          <w:rFonts w:hint="eastAsia" w:ascii="微软雅黑" w:hAnsi="微软雅黑" w:eastAsia="微软雅黑" w:cs="微软雅黑"/>
          <w:szCs w:val="21"/>
        </w:rPr>
      </w:pPr>
      <w:r>
        <w:rPr>
          <w:rFonts w:hint="eastAsia" w:ascii="微软雅黑" w:hAnsi="微软雅黑" w:eastAsia="微软雅黑" w:cs="微软雅黑"/>
          <w:b/>
          <w:sz w:val="24"/>
          <w:szCs w:val="24"/>
        </w:rPr>
        <w:t>采购类别：</w:t>
      </w:r>
      <w:r>
        <w:rPr>
          <w:rFonts w:hint="eastAsia" w:ascii="微软雅黑" w:hAnsi="微软雅黑" w:eastAsia="微软雅黑" w:cs="微软雅黑"/>
          <w:b/>
          <w:sz w:val="24"/>
          <w:szCs w:val="24"/>
          <w:lang w:val="en-US" w:eastAsia="zh-CN"/>
        </w:rPr>
        <w:t>设备</w:t>
      </w:r>
      <w:r>
        <w:rPr>
          <w:rFonts w:hint="eastAsia" w:ascii="微软雅黑" w:hAnsi="微软雅黑" w:eastAsia="微软雅黑" w:cs="微软雅黑"/>
          <w:b/>
          <w:sz w:val="24"/>
          <w:szCs w:val="24"/>
        </w:rPr>
        <w:t>类（注：新用户时请选择此类别，否则无法报名）</w:t>
      </w:r>
      <w:r>
        <w:rPr>
          <w:rFonts w:hint="eastAsia" w:ascii="微软雅黑" w:hAnsi="微软雅黑" w:eastAsia="微软雅黑" w:cs="微软雅黑"/>
          <w:szCs w:val="21"/>
        </w:rPr>
        <w:t xml:space="preserve">                                                         </w:t>
      </w:r>
    </w:p>
    <w:p>
      <w:pPr>
        <w:keepNext w:val="0"/>
        <w:keepLines w:val="0"/>
        <w:pageBreakBefore w:val="0"/>
        <w:kinsoku/>
        <w:overflowPunct/>
        <w:topLinePunct w:val="0"/>
        <w:bidi w:val="0"/>
        <w:spacing w:line="42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1.项目名称：</w:t>
      </w:r>
      <w:r>
        <w:rPr>
          <w:rFonts w:hint="eastAsia" w:ascii="微软雅黑" w:hAnsi="微软雅黑" w:eastAsia="微软雅黑" w:cs="微软雅黑"/>
          <w:b w:val="0"/>
          <w:bCs w:val="0"/>
          <w:w w:val="100"/>
          <w:sz w:val="24"/>
          <w:szCs w:val="24"/>
          <w:lang w:val="en-US" w:eastAsia="zh-CN"/>
        </w:rPr>
        <w:t xml:space="preserve">靖西市锰矿有限责任公司2023年防火门采购及安装项目    </w:t>
      </w:r>
      <w:r>
        <w:rPr>
          <w:rFonts w:hint="eastAsia" w:ascii="微软雅黑" w:hAnsi="微软雅黑" w:eastAsia="微软雅黑" w:cs="微软雅黑"/>
          <w:b/>
          <w:bCs/>
          <w:w w:val="100"/>
          <w:sz w:val="22"/>
          <w:szCs w:val="22"/>
        </w:rPr>
        <w:t xml:space="preserve"> </w:t>
      </w:r>
      <w:r>
        <w:rPr>
          <w:rFonts w:hint="eastAsia" w:ascii="微软雅黑" w:hAnsi="微软雅黑" w:eastAsia="微软雅黑" w:cs="微软雅黑"/>
          <w:b/>
          <w:bCs/>
          <w:sz w:val="24"/>
          <w:szCs w:val="24"/>
        </w:rPr>
        <w:t xml:space="preserve">                            </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2.项目概况与招标范围</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2.1</w:t>
      </w:r>
      <w:r>
        <w:rPr>
          <w:rFonts w:hint="eastAsia" w:ascii="微软雅黑" w:hAnsi="微软雅黑" w:eastAsia="微软雅黑" w:cs="微软雅黑"/>
          <w:b w:val="0"/>
          <w:bCs w:val="0"/>
          <w:color w:val="000000"/>
          <w:sz w:val="24"/>
          <w:szCs w:val="24"/>
        </w:rPr>
        <w:t>项目概</w:t>
      </w:r>
      <w:r>
        <w:rPr>
          <w:rFonts w:hint="eastAsia" w:ascii="微软雅黑" w:hAnsi="微软雅黑" w:eastAsia="微软雅黑" w:cs="微软雅黑"/>
          <w:b w:val="0"/>
          <w:bCs w:val="0"/>
          <w:sz w:val="24"/>
          <w:szCs w:val="24"/>
        </w:rPr>
        <w:t>况：</w:t>
      </w:r>
    </w:p>
    <w:p>
      <w:pPr>
        <w:keepNext w:val="0"/>
        <w:keepLines w:val="0"/>
        <w:pageBreakBefore w:val="0"/>
        <w:kinsoku/>
        <w:overflowPunct/>
        <w:topLinePunct w:val="0"/>
        <w:bidi w:val="0"/>
        <w:spacing w:line="420" w:lineRule="exact"/>
        <w:ind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本项目位于</w:t>
      </w:r>
      <w:r>
        <w:rPr>
          <w:rFonts w:hint="eastAsia" w:ascii="微软雅黑" w:hAnsi="微软雅黑" w:eastAsia="微软雅黑" w:cs="微软雅黑"/>
          <w:color w:val="auto"/>
          <w:kern w:val="2"/>
          <w:sz w:val="24"/>
          <w:szCs w:val="24"/>
          <w:lang w:val="en-US" w:eastAsia="zh-CN" w:bidi="ar-SA"/>
        </w:rPr>
        <w:t>广西靖西市湖润镇新兴街靖西市锰矿有限责任公司电解金属锰厂厂区内，计划采购及安装</w:t>
      </w:r>
      <w:r>
        <w:rPr>
          <w:rFonts w:hint="eastAsia" w:ascii="微软雅黑" w:hAnsi="微软雅黑" w:eastAsia="微软雅黑" w:cs="微软雅黑"/>
          <w:b w:val="0"/>
          <w:bCs w:val="0"/>
          <w:color w:val="auto"/>
          <w:w w:val="100"/>
          <w:sz w:val="24"/>
          <w:szCs w:val="24"/>
          <w:lang w:val="en-US" w:eastAsia="zh-CN"/>
        </w:rPr>
        <w:t>防火门</w:t>
      </w:r>
      <w:r>
        <w:rPr>
          <w:rFonts w:hint="eastAsia" w:ascii="微软雅黑" w:hAnsi="微软雅黑" w:eastAsia="微软雅黑" w:cs="微软雅黑"/>
          <w:color w:val="auto"/>
          <w:kern w:val="2"/>
          <w:sz w:val="24"/>
          <w:szCs w:val="24"/>
          <w:lang w:val="en-US" w:eastAsia="zh-CN" w:bidi="ar-SA"/>
        </w:rPr>
        <w:t>，现需对靖西市锰矿有限责任公司2023年防火门采购及安装项目进行招标。</w:t>
      </w:r>
    </w:p>
    <w:p>
      <w:pPr>
        <w:keepNext w:val="0"/>
        <w:keepLines w:val="0"/>
        <w:pageBreakBefore w:val="0"/>
        <w:kinsoku/>
        <w:overflowPunct/>
        <w:topLinePunct w:val="0"/>
        <w:bidi w:val="0"/>
        <w:spacing w:line="420" w:lineRule="exact"/>
        <w:ind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color w:val="000000"/>
          <w:sz w:val="24"/>
          <w:szCs w:val="24"/>
        </w:rPr>
        <w:t>2.2</w:t>
      </w:r>
      <w:r>
        <w:rPr>
          <w:rFonts w:hint="eastAsia" w:ascii="微软雅黑" w:hAnsi="微软雅黑" w:eastAsia="微软雅黑" w:cs="微软雅黑"/>
          <w:b w:val="0"/>
          <w:bCs w:val="0"/>
          <w:sz w:val="24"/>
          <w:szCs w:val="24"/>
        </w:rPr>
        <w:t>招标范围：</w:t>
      </w:r>
    </w:p>
    <w:tbl>
      <w:tblPr>
        <w:tblStyle w:val="10"/>
        <w:tblW w:w="10816" w:type="dxa"/>
        <w:jc w:val="center"/>
        <w:shd w:val="clear" w:color="auto" w:fill="auto"/>
        <w:tblLayout w:type="fixed"/>
        <w:tblCellMar>
          <w:top w:w="0" w:type="dxa"/>
          <w:left w:w="0" w:type="dxa"/>
          <w:bottom w:w="0" w:type="dxa"/>
          <w:right w:w="0" w:type="dxa"/>
        </w:tblCellMar>
      </w:tblPr>
      <w:tblGrid>
        <w:gridCol w:w="617"/>
        <w:gridCol w:w="958"/>
        <w:gridCol w:w="1804"/>
        <w:gridCol w:w="3525"/>
        <w:gridCol w:w="640"/>
        <w:gridCol w:w="666"/>
        <w:gridCol w:w="2606"/>
      </w:tblGrid>
      <w:tr>
        <w:tblPrEx>
          <w:tblCellMar>
            <w:top w:w="0" w:type="dxa"/>
            <w:left w:w="0" w:type="dxa"/>
            <w:bottom w:w="0" w:type="dxa"/>
            <w:right w:w="0" w:type="dxa"/>
          </w:tblCellMar>
        </w:tblPrEx>
        <w:trPr>
          <w:trHeight w:val="598"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b/>
                <w:bCs/>
                <w:i w:val="0"/>
                <w:color w:val="000000"/>
                <w:kern w:val="0"/>
                <w:sz w:val="21"/>
                <w:szCs w:val="21"/>
                <w:u w:val="none"/>
                <w:lang w:val="en-US" w:eastAsia="zh-CN" w:bidi="ar"/>
              </w:rPr>
            </w:pPr>
            <w:r>
              <w:rPr>
                <w:rFonts w:hint="eastAsia" w:ascii="微软雅黑" w:hAnsi="微软雅黑" w:eastAsia="微软雅黑" w:cs="微软雅黑"/>
                <w:b/>
                <w:bCs/>
                <w:i w:val="0"/>
                <w:color w:val="000000"/>
                <w:kern w:val="0"/>
                <w:sz w:val="21"/>
                <w:szCs w:val="21"/>
                <w:u w:val="none"/>
                <w:lang w:val="en-US" w:eastAsia="zh-CN" w:bidi="ar"/>
              </w:rPr>
              <w:t>序号</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b/>
                <w:bCs/>
                <w:i w:val="0"/>
                <w:color w:val="000000"/>
                <w:kern w:val="0"/>
                <w:sz w:val="21"/>
                <w:szCs w:val="21"/>
                <w:u w:val="none"/>
                <w:lang w:val="en-US" w:eastAsia="zh-CN" w:bidi="ar"/>
              </w:rPr>
            </w:pPr>
            <w:r>
              <w:rPr>
                <w:rFonts w:hint="eastAsia" w:ascii="微软雅黑" w:hAnsi="微软雅黑" w:eastAsia="微软雅黑" w:cs="微软雅黑"/>
                <w:b/>
                <w:bCs/>
                <w:i w:val="0"/>
                <w:color w:val="000000"/>
                <w:kern w:val="0"/>
                <w:sz w:val="21"/>
                <w:szCs w:val="21"/>
                <w:u w:val="none"/>
                <w:lang w:val="en-US" w:eastAsia="zh-CN" w:bidi="ar"/>
              </w:rPr>
              <w:t>位置</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b/>
                <w:bCs/>
                <w:i w:val="0"/>
                <w:color w:val="000000"/>
                <w:kern w:val="0"/>
                <w:sz w:val="21"/>
                <w:szCs w:val="21"/>
                <w:u w:val="none"/>
                <w:lang w:val="en-US" w:eastAsia="zh-CN" w:bidi="ar"/>
              </w:rPr>
            </w:pPr>
            <w:r>
              <w:rPr>
                <w:rFonts w:hint="eastAsia" w:ascii="微软雅黑" w:hAnsi="微软雅黑" w:eastAsia="微软雅黑" w:cs="微软雅黑"/>
                <w:b/>
                <w:bCs/>
                <w:i w:val="0"/>
                <w:color w:val="000000"/>
                <w:kern w:val="0"/>
                <w:sz w:val="21"/>
                <w:szCs w:val="21"/>
                <w:u w:val="none"/>
                <w:lang w:val="en-US" w:eastAsia="zh-CN" w:bidi="ar"/>
              </w:rPr>
              <w:t>规格尺寸（mm）</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b/>
                <w:bCs/>
                <w:i w:val="0"/>
                <w:color w:val="000000"/>
                <w:kern w:val="0"/>
                <w:sz w:val="21"/>
                <w:szCs w:val="21"/>
                <w:u w:val="none"/>
                <w:lang w:val="en-US" w:eastAsia="zh-CN" w:bidi="ar"/>
              </w:rPr>
            </w:pPr>
            <w:r>
              <w:rPr>
                <w:rFonts w:hint="eastAsia" w:ascii="微软雅黑" w:hAnsi="微软雅黑" w:eastAsia="微软雅黑" w:cs="微软雅黑"/>
                <w:b/>
                <w:bCs/>
                <w:i w:val="0"/>
                <w:color w:val="000000"/>
                <w:kern w:val="0"/>
                <w:sz w:val="21"/>
                <w:szCs w:val="21"/>
                <w:u w:val="none"/>
                <w:lang w:val="en-US" w:eastAsia="zh-CN" w:bidi="ar"/>
              </w:rPr>
              <w:t>名称/材质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b/>
                <w:bCs/>
                <w:i w:val="0"/>
                <w:color w:val="000000"/>
                <w:kern w:val="0"/>
                <w:sz w:val="21"/>
                <w:szCs w:val="21"/>
                <w:u w:val="none"/>
                <w:lang w:val="en-US" w:eastAsia="zh-CN" w:bidi="ar"/>
              </w:rPr>
            </w:pPr>
            <w:r>
              <w:rPr>
                <w:rFonts w:hint="eastAsia" w:ascii="微软雅黑" w:hAnsi="微软雅黑" w:eastAsia="微软雅黑" w:cs="微软雅黑"/>
                <w:b/>
                <w:bCs/>
                <w:i w:val="0"/>
                <w:color w:val="000000"/>
                <w:kern w:val="0"/>
                <w:sz w:val="21"/>
                <w:szCs w:val="21"/>
                <w:u w:val="none"/>
                <w:lang w:val="en-US" w:eastAsia="zh-CN" w:bidi="ar"/>
              </w:rPr>
              <w:t>单位</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b/>
                <w:bCs/>
                <w:i w:val="0"/>
                <w:color w:val="000000"/>
                <w:kern w:val="0"/>
                <w:sz w:val="21"/>
                <w:szCs w:val="21"/>
                <w:u w:val="none"/>
                <w:lang w:val="en-US" w:eastAsia="zh-CN" w:bidi="ar"/>
              </w:rPr>
            </w:pPr>
            <w:r>
              <w:rPr>
                <w:rFonts w:hint="eastAsia" w:ascii="微软雅黑" w:hAnsi="微软雅黑" w:eastAsia="微软雅黑" w:cs="微软雅黑"/>
                <w:b/>
                <w:bCs/>
                <w:i w:val="0"/>
                <w:color w:val="000000"/>
                <w:kern w:val="0"/>
                <w:sz w:val="21"/>
                <w:szCs w:val="21"/>
                <w:u w:val="none"/>
                <w:lang w:val="en-US" w:eastAsia="zh-CN" w:bidi="ar"/>
              </w:rPr>
              <w:t>数量</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b/>
                <w:bCs/>
                <w:i w:val="0"/>
                <w:color w:val="000000"/>
                <w:kern w:val="0"/>
                <w:sz w:val="21"/>
                <w:szCs w:val="21"/>
                <w:u w:val="none"/>
                <w:lang w:val="en-US" w:eastAsia="zh-CN" w:bidi="ar"/>
              </w:rPr>
            </w:pPr>
            <w:r>
              <w:rPr>
                <w:rFonts w:hint="eastAsia" w:ascii="微软雅黑" w:hAnsi="微软雅黑" w:eastAsia="微软雅黑" w:cs="微软雅黑"/>
                <w:b/>
                <w:bCs/>
                <w:i w:val="0"/>
                <w:color w:val="000000"/>
                <w:kern w:val="0"/>
                <w:sz w:val="21"/>
                <w:szCs w:val="21"/>
                <w:u w:val="none"/>
                <w:lang w:val="en-US" w:eastAsia="zh-CN" w:bidi="ar"/>
              </w:rPr>
              <w:t>选用型号</w:t>
            </w:r>
          </w:p>
        </w:tc>
      </w:tr>
      <w:tr>
        <w:tblPrEx>
          <w:shd w:val="clear" w:color="auto" w:fill="auto"/>
          <w:tblCellMar>
            <w:top w:w="0" w:type="dxa"/>
            <w:left w:w="0" w:type="dxa"/>
            <w:bottom w:w="0" w:type="dxa"/>
            <w:right w:w="0" w:type="dxa"/>
          </w:tblCellMar>
        </w:tblPrEx>
        <w:trPr>
          <w:trHeight w:val="437" w:hRule="atLeast"/>
          <w:jc w:val="center"/>
        </w:trPr>
        <w:tc>
          <w:tcPr>
            <w:tcW w:w="61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一</w:t>
            </w:r>
          </w:p>
        </w:tc>
        <w:tc>
          <w:tcPr>
            <w:tcW w:w="95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一线电解三车间</w:t>
            </w:r>
          </w:p>
        </w:tc>
        <w:tc>
          <w:tcPr>
            <w:tcW w:w="18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4100*4500</w:t>
            </w:r>
          </w:p>
        </w:tc>
        <w:tc>
          <w:tcPr>
            <w:tcW w:w="35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电动不锈钢板岩棉夹芯卷帘门</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2</w:t>
            </w:r>
          </w:p>
        </w:tc>
        <w:tc>
          <w:tcPr>
            <w:tcW w:w="26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专业厂家制造</w:t>
            </w:r>
          </w:p>
        </w:tc>
      </w:tr>
      <w:tr>
        <w:tblPrEx>
          <w:shd w:val="clear" w:color="auto" w:fill="auto"/>
          <w:tblCellMar>
            <w:top w:w="0" w:type="dxa"/>
            <w:left w:w="0" w:type="dxa"/>
            <w:bottom w:w="0" w:type="dxa"/>
            <w:right w:w="0" w:type="dxa"/>
          </w:tblCellMar>
        </w:tblPrEx>
        <w:trPr>
          <w:trHeight w:val="848" w:hRule="atLeast"/>
          <w:jc w:val="center"/>
        </w:trPr>
        <w:tc>
          <w:tcPr>
            <w:tcW w:w="61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9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1500*2350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增塑聚氯乙烯（PVCU）型材S60系列平开门</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PM-1524</w:t>
            </w:r>
          </w:p>
        </w:tc>
      </w:tr>
      <w:tr>
        <w:tblPrEx>
          <w:shd w:val="clear" w:color="auto" w:fill="auto"/>
          <w:tblCellMar>
            <w:top w:w="0" w:type="dxa"/>
            <w:left w:w="0" w:type="dxa"/>
            <w:bottom w:w="0" w:type="dxa"/>
            <w:right w:w="0" w:type="dxa"/>
          </w:tblCellMar>
        </w:tblPrEx>
        <w:trPr>
          <w:trHeight w:val="580" w:hRule="atLeast"/>
          <w:jc w:val="center"/>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二</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一线低位阳极液池配电室</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3000*3300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甲级钢制平开防火门，耐火1.5小时</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YM110-3033（A1.5甲）</w:t>
            </w:r>
          </w:p>
        </w:tc>
      </w:tr>
      <w:tr>
        <w:tblPrEx>
          <w:shd w:val="clear" w:color="auto" w:fill="auto"/>
          <w:tblCellMar>
            <w:top w:w="0" w:type="dxa"/>
            <w:left w:w="0" w:type="dxa"/>
            <w:bottom w:w="0" w:type="dxa"/>
            <w:right w:w="0" w:type="dxa"/>
          </w:tblCellMar>
        </w:tblPrEx>
        <w:trPr>
          <w:trHeight w:val="580" w:hRule="atLeast"/>
          <w:jc w:val="center"/>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1500*3000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钢制甲级防火门，耐火极限1.5小时</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GFM-1530（A1.5甲）</w:t>
            </w:r>
          </w:p>
        </w:tc>
      </w:tr>
      <w:tr>
        <w:tblPrEx>
          <w:tblCellMar>
            <w:top w:w="0" w:type="dxa"/>
            <w:left w:w="0" w:type="dxa"/>
            <w:bottom w:w="0" w:type="dxa"/>
            <w:right w:w="0" w:type="dxa"/>
          </w:tblCellMar>
        </w:tblPrEx>
        <w:trPr>
          <w:trHeight w:val="580" w:hRule="atLeast"/>
          <w:jc w:val="center"/>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1000*2100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钢制甲级防火门，耐火极限1.6小时</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2</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GFM-1021（A1.5甲）</w:t>
            </w:r>
          </w:p>
        </w:tc>
      </w:tr>
      <w:tr>
        <w:tblPrEx>
          <w:shd w:val="clear" w:color="auto" w:fill="auto"/>
          <w:tblCellMar>
            <w:top w:w="0" w:type="dxa"/>
            <w:left w:w="0" w:type="dxa"/>
            <w:bottom w:w="0" w:type="dxa"/>
            <w:right w:w="0" w:type="dxa"/>
          </w:tblCellMar>
        </w:tblPrEx>
        <w:trPr>
          <w:trHeight w:val="1259"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三</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一线高位中水池配电室</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1500*2400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成品钢制乙级防火门</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437" w:hRule="atLeast"/>
          <w:jc w:val="center"/>
        </w:trPr>
        <w:tc>
          <w:tcPr>
            <w:tcW w:w="61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四</w:t>
            </w:r>
          </w:p>
        </w:tc>
        <w:tc>
          <w:tcPr>
            <w:tcW w:w="95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二线电解三车间</w:t>
            </w:r>
          </w:p>
        </w:tc>
        <w:tc>
          <w:tcPr>
            <w:tcW w:w="18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3000*3300</w:t>
            </w:r>
          </w:p>
        </w:tc>
        <w:tc>
          <w:tcPr>
            <w:tcW w:w="35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平开不锈钢丙级防火门</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w:t>
            </w:r>
          </w:p>
        </w:tc>
        <w:tc>
          <w:tcPr>
            <w:tcW w:w="26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437" w:hRule="atLeast"/>
          <w:jc w:val="center"/>
        </w:trPr>
        <w:tc>
          <w:tcPr>
            <w:tcW w:w="61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9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3600*1800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不锈钢板网门</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r>
      <w:tr>
        <w:tblPrEx>
          <w:tblCellMar>
            <w:top w:w="0" w:type="dxa"/>
            <w:left w:w="0" w:type="dxa"/>
            <w:bottom w:w="0" w:type="dxa"/>
            <w:right w:w="0" w:type="dxa"/>
          </w:tblCellMar>
        </w:tblPrEx>
        <w:trPr>
          <w:trHeight w:val="580" w:hRule="atLeast"/>
          <w:jc w:val="center"/>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五</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二三压车间变电所</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1500*2100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钢质甲级防火门，耐火极限1.5小时</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GFM-1521（A1.5甲）</w:t>
            </w:r>
          </w:p>
        </w:tc>
      </w:tr>
      <w:tr>
        <w:tblPrEx>
          <w:shd w:val="clear" w:color="auto" w:fill="auto"/>
          <w:tblCellMar>
            <w:top w:w="0" w:type="dxa"/>
            <w:left w:w="0" w:type="dxa"/>
            <w:bottom w:w="0" w:type="dxa"/>
            <w:right w:w="0" w:type="dxa"/>
          </w:tblCellMar>
        </w:tblPrEx>
        <w:trPr>
          <w:trHeight w:val="580" w:hRule="atLeast"/>
          <w:jc w:val="center"/>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3600*3600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甲级钢制平开防火门，耐火1.5小时</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PM1-3636（A1.5甲）</w:t>
            </w:r>
          </w:p>
        </w:tc>
      </w:tr>
      <w:tr>
        <w:tblPrEx>
          <w:tblCellMar>
            <w:top w:w="0" w:type="dxa"/>
            <w:left w:w="0" w:type="dxa"/>
            <w:bottom w:w="0" w:type="dxa"/>
            <w:right w:w="0" w:type="dxa"/>
          </w:tblCellMar>
        </w:tblPrEx>
        <w:trPr>
          <w:trHeight w:val="437" w:hRule="atLeast"/>
          <w:jc w:val="center"/>
        </w:trPr>
        <w:tc>
          <w:tcPr>
            <w:tcW w:w="61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六</w:t>
            </w:r>
          </w:p>
        </w:tc>
        <w:tc>
          <w:tcPr>
            <w:tcW w:w="958"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二线粗压车间</w:t>
            </w:r>
          </w:p>
        </w:tc>
        <w:tc>
          <w:tcPr>
            <w:tcW w:w="18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4200x3300</w:t>
            </w:r>
          </w:p>
        </w:tc>
        <w:tc>
          <w:tcPr>
            <w:tcW w:w="35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钢木大门</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w:t>
            </w:r>
          </w:p>
        </w:tc>
        <w:tc>
          <w:tcPr>
            <w:tcW w:w="26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437" w:hRule="atLeast"/>
          <w:jc w:val="center"/>
        </w:trPr>
        <w:tc>
          <w:tcPr>
            <w:tcW w:w="61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95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900x2100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塑钢门</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2</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r>
      <w:tr>
        <w:tblPrEx>
          <w:tblCellMar>
            <w:top w:w="0" w:type="dxa"/>
            <w:left w:w="0" w:type="dxa"/>
            <w:bottom w:w="0" w:type="dxa"/>
            <w:right w:w="0" w:type="dxa"/>
          </w:tblCellMar>
        </w:tblPrEx>
        <w:trPr>
          <w:trHeight w:val="437" w:hRule="atLeast"/>
          <w:jc w:val="center"/>
        </w:trPr>
        <w:tc>
          <w:tcPr>
            <w:tcW w:w="61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95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900x2100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高级木门</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4</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437" w:hRule="atLeast"/>
          <w:jc w:val="center"/>
        </w:trPr>
        <w:tc>
          <w:tcPr>
            <w:tcW w:w="61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95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3000x3300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乙级防火门</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437" w:hRule="atLeast"/>
          <w:jc w:val="center"/>
        </w:trPr>
        <w:tc>
          <w:tcPr>
            <w:tcW w:w="61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95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1500x2400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乙级防火门</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437" w:hRule="atLeast"/>
          <w:jc w:val="center"/>
        </w:trPr>
        <w:tc>
          <w:tcPr>
            <w:tcW w:w="61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七</w:t>
            </w:r>
          </w:p>
        </w:tc>
        <w:tc>
          <w:tcPr>
            <w:tcW w:w="958"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二线浆化车间</w:t>
            </w:r>
          </w:p>
        </w:tc>
        <w:tc>
          <w:tcPr>
            <w:tcW w:w="18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1200X2100</w:t>
            </w:r>
          </w:p>
        </w:tc>
        <w:tc>
          <w:tcPr>
            <w:tcW w:w="35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防腐型塑钢门</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2</w:t>
            </w:r>
          </w:p>
        </w:tc>
        <w:tc>
          <w:tcPr>
            <w:tcW w:w="26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S60-PM1221</w:t>
            </w:r>
          </w:p>
        </w:tc>
      </w:tr>
      <w:tr>
        <w:tblPrEx>
          <w:tblCellMar>
            <w:top w:w="0" w:type="dxa"/>
            <w:left w:w="0" w:type="dxa"/>
            <w:bottom w:w="0" w:type="dxa"/>
            <w:right w:w="0" w:type="dxa"/>
          </w:tblCellMar>
        </w:tblPrEx>
        <w:trPr>
          <w:trHeight w:val="437" w:hRule="atLeast"/>
          <w:jc w:val="center"/>
        </w:trPr>
        <w:tc>
          <w:tcPr>
            <w:tcW w:w="61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95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1500X2400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防腐型塑钢门</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2</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S60-PM1524</w:t>
            </w:r>
          </w:p>
        </w:tc>
      </w:tr>
      <w:tr>
        <w:tblPrEx>
          <w:tblCellMar>
            <w:top w:w="0" w:type="dxa"/>
            <w:left w:w="0" w:type="dxa"/>
            <w:bottom w:w="0" w:type="dxa"/>
            <w:right w:w="0" w:type="dxa"/>
          </w:tblCellMar>
        </w:tblPrEx>
        <w:trPr>
          <w:trHeight w:val="437" w:hRule="atLeast"/>
          <w:jc w:val="center"/>
        </w:trPr>
        <w:tc>
          <w:tcPr>
            <w:tcW w:w="61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八</w:t>
            </w:r>
          </w:p>
        </w:tc>
        <w:tc>
          <w:tcPr>
            <w:tcW w:w="958"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二线化合车间</w:t>
            </w:r>
          </w:p>
        </w:tc>
        <w:tc>
          <w:tcPr>
            <w:tcW w:w="18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1800*2700</w:t>
            </w:r>
          </w:p>
        </w:tc>
        <w:tc>
          <w:tcPr>
            <w:tcW w:w="35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镶普通安全玻璃门</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w:t>
            </w:r>
          </w:p>
        </w:tc>
        <w:tc>
          <w:tcPr>
            <w:tcW w:w="26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S60-PM1827</w:t>
            </w:r>
          </w:p>
        </w:tc>
      </w:tr>
      <w:tr>
        <w:tblPrEx>
          <w:tblCellMar>
            <w:top w:w="0" w:type="dxa"/>
            <w:left w:w="0" w:type="dxa"/>
            <w:bottom w:w="0" w:type="dxa"/>
            <w:right w:w="0" w:type="dxa"/>
          </w:tblCellMar>
        </w:tblPrEx>
        <w:trPr>
          <w:trHeight w:val="437" w:hRule="atLeast"/>
          <w:jc w:val="center"/>
        </w:trPr>
        <w:tc>
          <w:tcPr>
            <w:tcW w:w="61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95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1500*2700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镶普通安全玻璃门</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3</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S60-PM1827</w:t>
            </w:r>
          </w:p>
        </w:tc>
      </w:tr>
      <w:tr>
        <w:tblPrEx>
          <w:shd w:val="clear" w:color="auto" w:fill="auto"/>
          <w:tblCellMar>
            <w:top w:w="0" w:type="dxa"/>
            <w:left w:w="0" w:type="dxa"/>
            <w:bottom w:w="0" w:type="dxa"/>
            <w:right w:w="0" w:type="dxa"/>
          </w:tblCellMar>
        </w:tblPrEx>
        <w:trPr>
          <w:trHeight w:val="580" w:hRule="atLeast"/>
          <w:jc w:val="center"/>
        </w:trPr>
        <w:tc>
          <w:tcPr>
            <w:tcW w:w="61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95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1500*2100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钢质乙级防火门，耐火极限1小时</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7</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GFM-1521（A1.0乙）</w:t>
            </w:r>
          </w:p>
        </w:tc>
      </w:tr>
      <w:tr>
        <w:tblPrEx>
          <w:shd w:val="clear" w:color="auto" w:fill="auto"/>
          <w:tblCellMar>
            <w:top w:w="0" w:type="dxa"/>
            <w:left w:w="0" w:type="dxa"/>
            <w:bottom w:w="0" w:type="dxa"/>
            <w:right w:w="0" w:type="dxa"/>
          </w:tblCellMar>
        </w:tblPrEx>
        <w:trPr>
          <w:trHeight w:val="437" w:hRule="atLeast"/>
          <w:jc w:val="center"/>
        </w:trPr>
        <w:tc>
          <w:tcPr>
            <w:tcW w:w="61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95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3150*3600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钢质隔声门，隔声40分贝</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3</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参照GM-3336</w:t>
            </w:r>
          </w:p>
        </w:tc>
      </w:tr>
      <w:tr>
        <w:tblPrEx>
          <w:shd w:val="clear" w:color="auto" w:fill="auto"/>
          <w:tblCellMar>
            <w:top w:w="0" w:type="dxa"/>
            <w:left w:w="0" w:type="dxa"/>
            <w:bottom w:w="0" w:type="dxa"/>
            <w:right w:w="0" w:type="dxa"/>
          </w:tblCellMar>
        </w:tblPrEx>
        <w:trPr>
          <w:trHeight w:val="580" w:hRule="atLeast"/>
          <w:jc w:val="center"/>
        </w:trPr>
        <w:tc>
          <w:tcPr>
            <w:tcW w:w="61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95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3600*3600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甲级钢质平开防火门,耐火1.5小时</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4</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PM1-3636（A1.5甲）</w:t>
            </w:r>
          </w:p>
        </w:tc>
      </w:tr>
      <w:tr>
        <w:tblPrEx>
          <w:tblCellMar>
            <w:top w:w="0" w:type="dxa"/>
            <w:left w:w="0" w:type="dxa"/>
            <w:bottom w:w="0" w:type="dxa"/>
            <w:right w:w="0" w:type="dxa"/>
          </w:tblCellMar>
        </w:tblPrEx>
        <w:trPr>
          <w:trHeight w:val="580" w:hRule="atLeast"/>
          <w:jc w:val="center"/>
        </w:trPr>
        <w:tc>
          <w:tcPr>
            <w:tcW w:w="61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95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1500*2100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钢质甲级防火门，耐火极限1.5小时</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2</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GFM-1521（A1.5甲）</w:t>
            </w:r>
          </w:p>
        </w:tc>
      </w:tr>
      <w:tr>
        <w:tblPrEx>
          <w:tblCellMar>
            <w:top w:w="0" w:type="dxa"/>
            <w:left w:w="0" w:type="dxa"/>
            <w:bottom w:w="0" w:type="dxa"/>
            <w:right w:w="0" w:type="dxa"/>
          </w:tblCellMar>
        </w:tblPrEx>
        <w:trPr>
          <w:trHeight w:val="437" w:hRule="atLeast"/>
          <w:jc w:val="center"/>
        </w:trPr>
        <w:tc>
          <w:tcPr>
            <w:tcW w:w="61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95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1000*2700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镶普通安全玻璃门</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2</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S60-PM1027</w:t>
            </w:r>
          </w:p>
        </w:tc>
      </w:tr>
      <w:tr>
        <w:tblPrEx>
          <w:tblCellMar>
            <w:top w:w="0" w:type="dxa"/>
            <w:left w:w="0" w:type="dxa"/>
            <w:bottom w:w="0" w:type="dxa"/>
            <w:right w:w="0" w:type="dxa"/>
          </w:tblCellMar>
        </w:tblPrEx>
        <w:trPr>
          <w:trHeight w:val="437" w:hRule="atLeast"/>
          <w:jc w:val="center"/>
        </w:trPr>
        <w:tc>
          <w:tcPr>
            <w:tcW w:w="61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95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900*2400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镶普通安全玻璃门</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2</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S60-PM1027</w:t>
            </w:r>
          </w:p>
        </w:tc>
      </w:tr>
      <w:tr>
        <w:tblPrEx>
          <w:tblCellMar>
            <w:top w:w="0" w:type="dxa"/>
            <w:left w:w="0" w:type="dxa"/>
            <w:bottom w:w="0" w:type="dxa"/>
            <w:right w:w="0" w:type="dxa"/>
          </w:tblCellMar>
        </w:tblPrEx>
        <w:trPr>
          <w:trHeight w:val="580" w:hRule="atLeast"/>
          <w:jc w:val="center"/>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九</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35KV</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6000*5400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甲级钢质平开防火门,耐火1.5小时</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2</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PM1-6054（A1.5甲）</w:t>
            </w:r>
          </w:p>
        </w:tc>
      </w:tr>
      <w:tr>
        <w:tblPrEx>
          <w:tblCellMar>
            <w:top w:w="0" w:type="dxa"/>
            <w:left w:w="0" w:type="dxa"/>
            <w:bottom w:w="0" w:type="dxa"/>
            <w:right w:w="0" w:type="dxa"/>
          </w:tblCellMar>
        </w:tblPrEx>
        <w:trPr>
          <w:trHeight w:val="580" w:hRule="atLeast"/>
          <w:jc w:val="center"/>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1800*3300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钢质甲级防火门，耐火极限1.5小时</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GFM-1833（A1.5甲）</w:t>
            </w:r>
          </w:p>
        </w:tc>
      </w:tr>
      <w:tr>
        <w:tblPrEx>
          <w:shd w:val="clear" w:color="auto" w:fill="auto"/>
          <w:tblCellMar>
            <w:top w:w="0" w:type="dxa"/>
            <w:left w:w="0" w:type="dxa"/>
            <w:bottom w:w="0" w:type="dxa"/>
            <w:right w:w="0" w:type="dxa"/>
          </w:tblCellMar>
        </w:tblPrEx>
        <w:trPr>
          <w:trHeight w:val="605" w:hRule="atLeast"/>
          <w:jc w:val="center"/>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2400*3600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钢质甲级防火门，耐火极限1.5小时</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2</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GFM-2436（A1.5甲）</w:t>
            </w:r>
          </w:p>
        </w:tc>
      </w:tr>
      <w:tr>
        <w:tblPrEx>
          <w:tblCellMar>
            <w:top w:w="0" w:type="dxa"/>
            <w:left w:w="0" w:type="dxa"/>
            <w:bottom w:w="0" w:type="dxa"/>
            <w:right w:w="0" w:type="dxa"/>
          </w:tblCellMar>
        </w:tblPrEx>
        <w:trPr>
          <w:trHeight w:val="605" w:hRule="atLeast"/>
          <w:jc w:val="center"/>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1200*2200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钢质甲级防火门，耐火极限1.5小时</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2</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GFM-1222（A1.5甲）</w:t>
            </w:r>
          </w:p>
        </w:tc>
      </w:tr>
      <w:tr>
        <w:tblPrEx>
          <w:tblCellMar>
            <w:top w:w="0" w:type="dxa"/>
            <w:left w:w="0" w:type="dxa"/>
            <w:bottom w:w="0" w:type="dxa"/>
            <w:right w:w="0" w:type="dxa"/>
          </w:tblCellMar>
        </w:tblPrEx>
        <w:trPr>
          <w:trHeight w:val="605" w:hRule="atLeast"/>
          <w:jc w:val="center"/>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1200*2100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钢质甲级防火门，耐火极限1.5小时</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2</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GFM-1221（A1.5甲）</w:t>
            </w:r>
          </w:p>
        </w:tc>
      </w:tr>
      <w:tr>
        <w:tblPrEx>
          <w:shd w:val="clear" w:color="auto" w:fill="auto"/>
          <w:tblCellMar>
            <w:top w:w="0" w:type="dxa"/>
            <w:left w:w="0" w:type="dxa"/>
            <w:bottom w:w="0" w:type="dxa"/>
            <w:right w:w="0" w:type="dxa"/>
          </w:tblCellMar>
        </w:tblPrEx>
        <w:trPr>
          <w:trHeight w:val="605" w:hRule="atLeast"/>
          <w:jc w:val="center"/>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1500*3000</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钢质甲级防火门，耐火极限1.5小时</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GFM-1530（A1.5甲）</w:t>
            </w:r>
          </w:p>
        </w:tc>
      </w:tr>
      <w:tr>
        <w:tblPrEx>
          <w:shd w:val="clear" w:color="auto" w:fill="auto"/>
          <w:tblCellMar>
            <w:top w:w="0" w:type="dxa"/>
            <w:left w:w="0" w:type="dxa"/>
            <w:bottom w:w="0" w:type="dxa"/>
            <w:right w:w="0" w:type="dxa"/>
          </w:tblCellMar>
        </w:tblPrEx>
        <w:trPr>
          <w:trHeight w:val="605" w:hRule="atLeast"/>
          <w:jc w:val="center"/>
        </w:trPr>
        <w:tc>
          <w:tcPr>
            <w:tcW w:w="61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十</w:t>
            </w:r>
          </w:p>
        </w:tc>
        <w:tc>
          <w:tcPr>
            <w:tcW w:w="95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二线化合车间配电室</w:t>
            </w:r>
          </w:p>
        </w:tc>
        <w:tc>
          <w:tcPr>
            <w:tcW w:w="18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3600x3600</w:t>
            </w:r>
          </w:p>
        </w:tc>
        <w:tc>
          <w:tcPr>
            <w:tcW w:w="35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丙级钢质平开防火门，耐火0.5小时</w:t>
            </w:r>
          </w:p>
        </w:tc>
        <w:tc>
          <w:tcPr>
            <w:tcW w:w="6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w:t>
            </w:r>
          </w:p>
        </w:tc>
        <w:tc>
          <w:tcPr>
            <w:tcW w:w="26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PM1-3636（A0.5丙）</w:t>
            </w:r>
          </w:p>
        </w:tc>
      </w:tr>
      <w:tr>
        <w:tblPrEx>
          <w:shd w:val="clear" w:color="auto" w:fill="auto"/>
          <w:tblCellMar>
            <w:top w:w="0" w:type="dxa"/>
            <w:left w:w="0" w:type="dxa"/>
            <w:bottom w:w="0" w:type="dxa"/>
            <w:right w:w="0" w:type="dxa"/>
          </w:tblCellMar>
        </w:tblPrEx>
        <w:trPr>
          <w:trHeight w:val="654" w:hRule="atLeast"/>
          <w:jc w:val="center"/>
        </w:trPr>
        <w:tc>
          <w:tcPr>
            <w:tcW w:w="617" w:type="dxa"/>
            <w:vMerge w:val="continue"/>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958"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80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1500X3000</w:t>
            </w:r>
          </w:p>
        </w:tc>
        <w:tc>
          <w:tcPr>
            <w:tcW w:w="35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丙级钢质平开防火门，耐火0.5小时</w:t>
            </w:r>
          </w:p>
        </w:tc>
        <w:tc>
          <w:tcPr>
            <w:tcW w:w="640"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66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w:t>
            </w:r>
          </w:p>
        </w:tc>
        <w:tc>
          <w:tcPr>
            <w:tcW w:w="260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PM1-3030（A0.5丙）</w:t>
            </w:r>
          </w:p>
        </w:tc>
      </w:tr>
      <w:tr>
        <w:tblPrEx>
          <w:shd w:val="clear" w:color="auto" w:fill="auto"/>
          <w:tblCellMar>
            <w:top w:w="0" w:type="dxa"/>
            <w:left w:w="0" w:type="dxa"/>
            <w:bottom w:w="0" w:type="dxa"/>
            <w:right w:w="0" w:type="dxa"/>
          </w:tblCellMar>
        </w:tblPrEx>
        <w:trPr>
          <w:trHeight w:val="848" w:hRule="atLeast"/>
          <w:jc w:val="center"/>
        </w:trPr>
        <w:tc>
          <w:tcPr>
            <w:tcW w:w="6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十一</w:t>
            </w:r>
          </w:p>
        </w:tc>
        <w:tc>
          <w:tcPr>
            <w:tcW w:w="9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安装</w:t>
            </w:r>
          </w:p>
        </w:tc>
        <w:tc>
          <w:tcPr>
            <w:tcW w:w="18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安装耗材</w:t>
            </w:r>
          </w:p>
        </w:tc>
        <w:tc>
          <w:tcPr>
            <w:tcW w:w="3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膨胀螺栓，填充剂等安装所需耗材都函在价格中。</w:t>
            </w:r>
          </w:p>
        </w:tc>
        <w:tc>
          <w:tcPr>
            <w:tcW w:w="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6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26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948" w:hRule="atLeast"/>
          <w:jc w:val="center"/>
        </w:trPr>
        <w:tc>
          <w:tcPr>
            <w:tcW w:w="10816" w:type="dxa"/>
            <w:gridSpan w:val="7"/>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备注：本次采购的防火门由投标方负责防火门施工安装及所用的安装耗材、人工、机械、调试涵盖报价当中。</w:t>
            </w:r>
          </w:p>
        </w:tc>
      </w:tr>
    </w:tbl>
    <w:p>
      <w:pPr>
        <w:keepNext w:val="0"/>
        <w:keepLines w:val="0"/>
        <w:pageBreakBefore w:val="0"/>
        <w:widowControl/>
        <w:suppressLineNumbers w:val="0"/>
        <w:kinsoku/>
        <w:wordWrap/>
        <w:overflowPunct/>
        <w:topLinePunct w:val="0"/>
        <w:autoSpaceDE/>
        <w:autoSpaceDN/>
        <w:bidi w:val="0"/>
        <w:snapToGrid w:val="0"/>
        <w:spacing w:line="240" w:lineRule="auto"/>
        <w:jc w:val="both"/>
        <w:textAlignment w:val="center"/>
        <w:rPr>
          <w:rFonts w:hint="eastAsia" w:ascii="微软雅黑" w:hAnsi="微软雅黑" w:eastAsia="微软雅黑" w:cs="微软雅黑"/>
          <w:i w:val="0"/>
          <w:color w:val="000000"/>
          <w:kern w:val="0"/>
          <w:sz w:val="24"/>
          <w:szCs w:val="24"/>
          <w:u w:val="none"/>
          <w:lang w:val="en-US" w:eastAsia="zh-CN" w:bidi="ar"/>
        </w:rPr>
      </w:pPr>
    </w:p>
    <w:p>
      <w:pPr>
        <w:keepNext w:val="0"/>
        <w:keepLines w:val="0"/>
        <w:pageBreakBefore w:val="0"/>
        <w:kinsoku/>
        <w:overflowPunct/>
        <w:topLinePunct w:val="0"/>
        <w:bidi w:val="0"/>
        <w:spacing w:line="42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3.投标人资格要求</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hint="eastAsia" w:ascii="微软雅黑" w:hAnsi="微软雅黑" w:eastAsia="微软雅黑" w:cs="微软雅黑"/>
          <w:b w:val="0"/>
          <w:bCs/>
          <w:color w:val="000000" w:themeColor="text1"/>
          <w:kern w:val="0"/>
          <w:sz w:val="24"/>
          <w:szCs w:val="24"/>
          <w14:textFill>
            <w14:solidFill>
              <w14:schemeClr w14:val="tx1"/>
            </w14:solidFill>
          </w14:textFill>
        </w:rPr>
      </w:pPr>
      <w:r>
        <w:rPr>
          <w:rFonts w:hint="eastAsia" w:ascii="微软雅黑" w:hAnsi="微软雅黑" w:eastAsia="微软雅黑" w:cs="微软雅黑"/>
          <w:b w:val="0"/>
          <w:bCs/>
          <w:color w:val="000000" w:themeColor="text1"/>
          <w:kern w:val="0"/>
          <w:sz w:val="24"/>
          <w:szCs w:val="24"/>
          <w:lang w:val="en-US" w:eastAsia="zh-CN"/>
          <w14:textFill>
            <w14:solidFill>
              <w14:schemeClr w14:val="tx1"/>
            </w14:solidFill>
          </w14:textFill>
        </w:rPr>
        <w:t>3.1</w:t>
      </w:r>
      <w:r>
        <w:rPr>
          <w:rFonts w:hint="eastAsia" w:ascii="微软雅黑" w:hAnsi="微软雅黑" w:eastAsia="微软雅黑" w:cs="微软雅黑"/>
          <w:b w:val="0"/>
          <w:bCs/>
          <w:color w:val="000000" w:themeColor="text1"/>
          <w:kern w:val="0"/>
          <w:sz w:val="24"/>
          <w:szCs w:val="24"/>
          <w14:textFill>
            <w14:solidFill>
              <w14:schemeClr w14:val="tx1"/>
            </w14:solidFill>
          </w14:textFill>
        </w:rPr>
        <w:t>在中国境内注册，有独立法人资格和承担民事责任的能力。</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3.2</w:t>
      </w:r>
      <w:r>
        <w:rPr>
          <w:rFonts w:hint="eastAsia" w:ascii="微软雅黑" w:hAnsi="微软雅黑" w:eastAsia="微软雅黑" w:cs="微软雅黑"/>
          <w:b w:val="0"/>
          <w:bCs/>
          <w:color w:val="auto"/>
          <w:kern w:val="0"/>
          <w:sz w:val="24"/>
          <w:szCs w:val="24"/>
        </w:rPr>
        <w:t>遵守中华人民共和国有关法律、法规和条例。</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3.3 具有自行生产制造或销售代理资质，具备竞标规格以上相应或相似条件以上；需提供近5年内不少于1个及以上防火门供货及安装的业绩（业绩须附列表及对应类别的合同扫描件。合同原件扫描件须含首尾页、规格型号的供货清单、签字盖章页，否则按无效业绩处理。）</w:t>
      </w:r>
    </w:p>
    <w:p>
      <w:pPr>
        <w:pStyle w:val="5"/>
        <w:keepNext w:val="0"/>
        <w:keepLines w:val="0"/>
        <w:pageBreakBefore w:val="0"/>
        <w:widowControl w:val="0"/>
        <w:kinsoku/>
        <w:wordWrap/>
        <w:overflowPunct/>
        <w:topLinePunct w:val="0"/>
        <w:autoSpaceDE/>
        <w:autoSpaceDN/>
        <w:bidi w:val="0"/>
        <w:adjustRightInd w:val="0"/>
        <w:snapToGrid w:val="0"/>
        <w:spacing w:after="0"/>
        <w:ind w:firstLine="480" w:firstLineChars="200"/>
        <w:textAlignment w:val="baseline"/>
        <w:rPr>
          <w:rFonts w:hint="eastAsia" w:ascii="微软雅黑" w:hAnsi="微软雅黑" w:eastAsia="微软雅黑" w:cs="微软雅黑"/>
          <w:lang w:val="en-US" w:eastAsia="zh-CN"/>
        </w:rPr>
      </w:pPr>
      <w:r>
        <w:rPr>
          <w:rFonts w:hint="eastAsia" w:ascii="微软雅黑" w:hAnsi="微软雅黑" w:eastAsia="微软雅黑" w:cs="微软雅黑"/>
          <w:color w:val="auto"/>
          <w:sz w:val="24"/>
          <w:szCs w:val="21"/>
          <w:lang w:val="en-US" w:eastAsia="zh-CN"/>
        </w:rPr>
        <w:t>注：授权代理商须具有生产制造商授权代理证明。</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hint="eastAsia" w:ascii="微软雅黑" w:hAnsi="微软雅黑" w:eastAsia="微软雅黑" w:cs="微软雅黑"/>
          <w:b w:val="0"/>
          <w:bCs/>
          <w:color w:val="000000" w:themeColor="text1"/>
          <w:kern w:val="0"/>
          <w:sz w:val="24"/>
          <w:szCs w:val="24"/>
          <w:lang w:eastAsia="zh-CN"/>
          <w14:textFill>
            <w14:solidFill>
              <w14:schemeClr w14:val="tx1"/>
            </w14:solidFill>
          </w14:textFill>
        </w:rPr>
      </w:pPr>
      <w:r>
        <w:rPr>
          <w:rFonts w:hint="eastAsia" w:ascii="微软雅黑" w:hAnsi="微软雅黑" w:eastAsia="微软雅黑" w:cs="微软雅黑"/>
          <w:b w:val="0"/>
          <w:bCs/>
          <w:color w:val="000000" w:themeColor="text1"/>
          <w:kern w:val="0"/>
          <w:sz w:val="24"/>
          <w:szCs w:val="24"/>
          <w:lang w:val="en-US" w:eastAsia="zh-CN"/>
          <w14:textFill>
            <w14:solidFill>
              <w14:schemeClr w14:val="tx1"/>
            </w14:solidFill>
          </w14:textFill>
        </w:rPr>
        <w:t>3.4</w:t>
      </w:r>
      <w:r>
        <w:rPr>
          <w:rFonts w:hint="eastAsia" w:ascii="微软雅黑" w:hAnsi="微软雅黑" w:eastAsia="微软雅黑" w:cs="微软雅黑"/>
          <w:b w:val="0"/>
          <w:bCs/>
          <w:color w:val="000000" w:themeColor="text1"/>
          <w:kern w:val="0"/>
          <w:sz w:val="24"/>
          <w:szCs w:val="24"/>
          <w14:textFill>
            <w14:solidFill>
              <w14:schemeClr w14:val="tx1"/>
            </w14:solidFill>
          </w14:textFill>
        </w:rPr>
        <w:t>近年来有较好业绩且无不良商业行为</w:t>
      </w:r>
      <w:r>
        <w:rPr>
          <w:rFonts w:hint="eastAsia" w:ascii="微软雅黑" w:hAnsi="微软雅黑" w:eastAsia="微软雅黑" w:cs="微软雅黑"/>
          <w:b w:val="0"/>
          <w:bCs/>
          <w:color w:val="000000" w:themeColor="text1"/>
          <w:kern w:val="0"/>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hint="eastAsia" w:ascii="微软雅黑" w:hAnsi="微软雅黑" w:eastAsia="微软雅黑" w:cs="微软雅黑"/>
          <w:b w:val="0"/>
          <w:bCs/>
          <w:color w:val="000000" w:themeColor="text1"/>
          <w:kern w:val="0"/>
          <w:sz w:val="24"/>
          <w:szCs w:val="24"/>
          <w:lang w:eastAsia="zh-CN"/>
          <w14:textFill>
            <w14:solidFill>
              <w14:schemeClr w14:val="tx1"/>
            </w14:solidFill>
          </w14:textFill>
        </w:rPr>
      </w:pPr>
      <w:r>
        <w:rPr>
          <w:rFonts w:hint="eastAsia" w:ascii="微软雅黑" w:hAnsi="微软雅黑" w:eastAsia="微软雅黑" w:cs="微软雅黑"/>
          <w:b w:val="0"/>
          <w:bCs/>
          <w:color w:val="000000" w:themeColor="text1"/>
          <w:kern w:val="0"/>
          <w:sz w:val="24"/>
          <w:szCs w:val="24"/>
          <w:lang w:val="en-US" w:eastAsia="zh-CN"/>
          <w14:textFill>
            <w14:solidFill>
              <w14:schemeClr w14:val="tx1"/>
            </w14:solidFill>
          </w14:textFill>
        </w:rPr>
        <w:t>3.5</w:t>
      </w:r>
      <w:r>
        <w:rPr>
          <w:rFonts w:hint="eastAsia" w:ascii="微软雅黑" w:hAnsi="微软雅黑" w:eastAsia="微软雅黑" w:cs="微软雅黑"/>
          <w:b w:val="0"/>
          <w:bCs/>
          <w:color w:val="000000" w:themeColor="text1"/>
          <w:kern w:val="0"/>
          <w:sz w:val="24"/>
          <w:szCs w:val="24"/>
          <w14:textFill>
            <w14:solidFill>
              <w14:schemeClr w14:val="tx1"/>
            </w14:solidFill>
          </w14:textFill>
        </w:rPr>
        <w:t>具有良好的商业信誉和健全的财务会计制度</w:t>
      </w:r>
      <w:r>
        <w:rPr>
          <w:rFonts w:hint="eastAsia" w:ascii="微软雅黑" w:hAnsi="微软雅黑" w:eastAsia="微软雅黑" w:cs="微软雅黑"/>
          <w:b w:val="0"/>
          <w:bCs/>
          <w:color w:val="000000" w:themeColor="text1"/>
          <w:kern w:val="0"/>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hint="eastAsia" w:ascii="微软雅黑" w:hAnsi="微软雅黑" w:eastAsia="微软雅黑" w:cs="微软雅黑"/>
          <w:b w:val="0"/>
          <w:bCs/>
          <w:color w:val="000000" w:themeColor="text1"/>
          <w:kern w:val="0"/>
          <w:sz w:val="24"/>
          <w:szCs w:val="24"/>
          <w:lang w:eastAsia="zh-CN"/>
          <w14:textFill>
            <w14:solidFill>
              <w14:schemeClr w14:val="tx1"/>
            </w14:solidFill>
          </w14:textFill>
        </w:rPr>
      </w:pPr>
      <w:r>
        <w:rPr>
          <w:rFonts w:hint="eastAsia" w:ascii="微软雅黑" w:hAnsi="微软雅黑" w:eastAsia="微软雅黑" w:cs="微软雅黑"/>
          <w:b w:val="0"/>
          <w:bCs/>
          <w:color w:val="000000" w:themeColor="text1"/>
          <w:kern w:val="0"/>
          <w:sz w:val="24"/>
          <w:szCs w:val="24"/>
          <w:lang w:val="en-US" w:eastAsia="zh-CN"/>
          <w14:textFill>
            <w14:solidFill>
              <w14:schemeClr w14:val="tx1"/>
            </w14:solidFill>
          </w14:textFill>
        </w:rPr>
        <w:t>3.6</w:t>
      </w:r>
      <w:r>
        <w:rPr>
          <w:rFonts w:hint="eastAsia" w:ascii="微软雅黑" w:hAnsi="微软雅黑" w:eastAsia="微软雅黑" w:cs="微软雅黑"/>
          <w:b w:val="0"/>
          <w:bCs/>
          <w:color w:val="000000" w:themeColor="text1"/>
          <w:kern w:val="0"/>
          <w:sz w:val="24"/>
          <w:szCs w:val="24"/>
          <w14:textFill>
            <w14:solidFill>
              <w14:schemeClr w14:val="tx1"/>
            </w14:solidFill>
          </w14:textFill>
        </w:rPr>
        <w:t>本次招标不接受联合体投标</w:t>
      </w:r>
      <w:r>
        <w:rPr>
          <w:rFonts w:hint="eastAsia" w:ascii="微软雅黑" w:hAnsi="微软雅黑" w:eastAsia="微软雅黑" w:cs="微软雅黑"/>
          <w:b w:val="0"/>
          <w:bCs/>
          <w:color w:val="000000" w:themeColor="text1"/>
          <w:kern w:val="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val="0"/>
          <w:bCs/>
          <w:color w:val="000000" w:themeColor="text1"/>
          <w:kern w:val="0"/>
          <w:sz w:val="24"/>
          <w:szCs w:val="24"/>
          <w:lang w:val="en-US" w:eastAsia="zh-CN"/>
          <w14:textFill>
            <w14:solidFill>
              <w14:schemeClr w14:val="tx1"/>
            </w14:solidFill>
          </w14:textFill>
        </w:rPr>
        <w:t>3.7</w:t>
      </w:r>
      <w:r>
        <w:rPr>
          <w:rFonts w:hint="eastAsia" w:ascii="微软雅黑" w:hAnsi="微软雅黑" w:eastAsia="微软雅黑" w:cs="微软雅黑"/>
          <w:bCs/>
          <w:sz w:val="24"/>
          <w:szCs w:val="24"/>
        </w:rPr>
        <w:t xml:space="preserve"> </w:t>
      </w:r>
      <w:r>
        <w:rPr>
          <w:rFonts w:hint="eastAsia" w:ascii="微软雅黑" w:hAnsi="微软雅黑" w:eastAsia="微软雅黑" w:cs="微软雅黑"/>
          <w:b w:val="0"/>
          <w:bCs/>
          <w:color w:val="000000" w:themeColor="text1"/>
          <w:kern w:val="0"/>
          <w:sz w:val="24"/>
          <w:szCs w:val="24"/>
          <w14:textFill>
            <w14:solidFill>
              <w14:schemeClr w14:val="tx1"/>
            </w14:solidFill>
          </w14:textFill>
        </w:rPr>
        <w:t>本次招标不接受</w:t>
      </w:r>
      <w:r>
        <w:rPr>
          <w:rFonts w:hint="eastAsia" w:ascii="微软雅黑" w:hAnsi="微软雅黑" w:eastAsia="微软雅黑" w:cs="微软雅黑"/>
          <w:b w:val="0"/>
          <w:bCs/>
          <w:color w:val="000000" w:themeColor="text1"/>
          <w:kern w:val="0"/>
          <w:sz w:val="24"/>
          <w:szCs w:val="24"/>
          <w:lang w:val="en-US" w:eastAsia="zh-CN"/>
          <w14:textFill>
            <w14:solidFill>
              <w14:schemeClr w14:val="tx1"/>
            </w14:solidFill>
          </w14:textFill>
        </w:rPr>
        <w:t>分包。</w:t>
      </w:r>
      <w:r>
        <w:rPr>
          <w:rFonts w:hint="eastAsia" w:ascii="微软雅黑" w:hAnsi="微软雅黑" w:eastAsia="微软雅黑" w:cs="微软雅黑"/>
          <w:bCs/>
          <w:sz w:val="24"/>
          <w:szCs w:val="24"/>
        </w:rPr>
        <w:t xml:space="preserve">                          </w:t>
      </w:r>
    </w:p>
    <w:p>
      <w:pPr>
        <w:keepNext w:val="0"/>
        <w:keepLines w:val="0"/>
        <w:pageBreakBefore w:val="0"/>
        <w:kinsoku/>
        <w:overflowPunct/>
        <w:topLinePunct w:val="0"/>
        <w:bidi w:val="0"/>
        <w:spacing w:line="42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sz w:val="24"/>
          <w:szCs w:val="24"/>
        </w:rPr>
        <w:t>4.投标报名</w:t>
      </w:r>
    </w:p>
    <w:p>
      <w:pPr>
        <w:keepNext w:val="0"/>
        <w:keepLines w:val="0"/>
        <w:pageBreakBefore w:val="0"/>
        <w:kinsoku/>
        <w:overflowPunct/>
        <w:topLinePunct w:val="0"/>
        <w:autoSpaceDE/>
        <w:autoSpaceDN/>
        <w:bidi w:val="0"/>
        <w:adjustRightInd w:val="0"/>
        <w:snapToGrid w:val="0"/>
        <w:spacing w:line="420" w:lineRule="exact"/>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4.1报名方式</w:t>
      </w:r>
    </w:p>
    <w:p>
      <w:pPr>
        <w:keepNext w:val="0"/>
        <w:keepLines w:val="0"/>
        <w:pageBreakBefore w:val="0"/>
        <w:widowControl w:val="0"/>
        <w:kinsoku/>
        <w:wordWrap w:val="0"/>
        <w:overflowPunct/>
        <w:topLinePunct w:val="0"/>
        <w:autoSpaceDE/>
        <w:autoSpaceDN/>
        <w:bidi w:val="0"/>
        <w:adjustRightInd w:val="0"/>
        <w:snapToGrid w:val="0"/>
        <w:spacing w:line="420" w:lineRule="exact"/>
        <w:ind w:firstLine="480" w:firstLineChars="200"/>
        <w:jc w:val="left"/>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4.1.1 *凡有意参加报名的投标人，请至吉利控股集团招标采购平台</w:t>
      </w:r>
      <w:r>
        <w:rPr>
          <w:rStyle w:val="13"/>
          <w:rFonts w:hint="eastAsia" w:ascii="微软雅黑" w:hAnsi="微软雅黑" w:eastAsia="微软雅黑" w:cs="微软雅黑"/>
          <w:color w:val="auto"/>
          <w:sz w:val="24"/>
          <w:szCs w:val="24"/>
        </w:rPr>
        <w:t>（</w:t>
      </w:r>
      <w:r>
        <w:rPr>
          <w:rStyle w:val="13"/>
          <w:rFonts w:hint="eastAsia" w:ascii="微软雅黑" w:hAnsi="微软雅黑" w:eastAsia="微软雅黑" w:cs="微软雅黑"/>
          <w:b w:val="0"/>
          <w:bCs w:val="0"/>
          <w:color w:val="auto"/>
          <w:sz w:val="24"/>
          <w:szCs w:val="24"/>
          <w:lang w:val="en-US" w:eastAsia="zh-CN"/>
        </w:rPr>
        <w:t>gl</w:t>
      </w:r>
      <w:r>
        <w:rPr>
          <w:rFonts w:hint="eastAsia" w:ascii="微软雅黑" w:hAnsi="微软雅黑" w:eastAsia="微软雅黑" w:cs="微软雅黑"/>
          <w:bCs/>
          <w:sz w:val="24"/>
          <w:szCs w:val="24"/>
        </w:rPr>
        <w:t>zb.geely.com</w:t>
      </w:r>
      <w:r>
        <w:rPr>
          <w:rStyle w:val="13"/>
          <w:rFonts w:hint="eastAsia" w:ascii="微软雅黑" w:hAnsi="微软雅黑" w:eastAsia="微软雅黑" w:cs="微软雅黑"/>
          <w:color w:val="454D54"/>
          <w:sz w:val="24"/>
          <w:szCs w:val="24"/>
        </w:rPr>
        <w:t>）</w:t>
      </w:r>
      <w:r>
        <w:rPr>
          <w:rFonts w:hint="eastAsia" w:ascii="微软雅黑" w:hAnsi="微软雅黑" w:eastAsia="微软雅黑" w:cs="微软雅黑"/>
          <w:bCs/>
          <w:sz w:val="24"/>
          <w:szCs w:val="24"/>
        </w:rPr>
        <w:t>注册报名，可在平台网站首页点击“下载供应商服务手册”查看《吉利电子采购招标平台操作手册（供应商端</w:t>
      </w:r>
      <w:r>
        <w:rPr>
          <w:rFonts w:hint="eastAsia" w:ascii="微软雅黑" w:hAnsi="微软雅黑" w:eastAsia="微软雅黑" w:cs="微软雅黑"/>
          <w:bCs/>
          <w:sz w:val="24"/>
          <w:szCs w:val="24"/>
          <w:lang w:eastAsia="zh-CN"/>
        </w:rPr>
        <w:t>）</w:t>
      </w:r>
      <w:r>
        <w:rPr>
          <w:rFonts w:hint="eastAsia" w:ascii="微软雅黑" w:hAnsi="微软雅黑" w:eastAsia="微软雅黑" w:cs="微软雅黑"/>
          <w:bCs/>
          <w:sz w:val="24"/>
          <w:szCs w:val="24"/>
        </w:rPr>
        <w:t>》,投标人根据手册要求进行注册，认证完成后为注册成功后。供应商根据公告项目名称，按照报名要求上传资料。未按照此方式报名的，视作无效报名。</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4.1.2</w:t>
      </w:r>
      <w:r>
        <w:rPr>
          <w:rFonts w:hint="eastAsia" w:ascii="微软雅黑" w:hAnsi="微软雅黑" w:eastAsia="微软雅黑" w:cs="微软雅黑"/>
          <w:bCs/>
          <w:color w:val="auto"/>
          <w:sz w:val="24"/>
          <w:szCs w:val="24"/>
          <w:highlight w:val="none"/>
        </w:rPr>
        <w:t xml:space="preserve"> *报名截止时间：</w:t>
      </w:r>
      <w:r>
        <w:rPr>
          <w:rFonts w:hint="eastAsia" w:ascii="微软雅黑" w:hAnsi="微软雅黑" w:eastAsia="微软雅黑" w:cs="微软雅黑"/>
          <w:bCs/>
          <w:color w:val="auto"/>
          <w:sz w:val="24"/>
          <w:szCs w:val="24"/>
          <w:highlight w:val="none"/>
          <w:u w:val="single"/>
        </w:rPr>
        <w:t>20</w:t>
      </w:r>
      <w:r>
        <w:rPr>
          <w:rFonts w:hint="eastAsia" w:ascii="微软雅黑" w:hAnsi="微软雅黑" w:eastAsia="微软雅黑" w:cs="微软雅黑"/>
          <w:bCs/>
          <w:color w:val="auto"/>
          <w:sz w:val="24"/>
          <w:szCs w:val="24"/>
          <w:highlight w:val="none"/>
          <w:u w:val="single"/>
          <w:lang w:val="en-US" w:eastAsia="zh-CN"/>
        </w:rPr>
        <w:t>23</w:t>
      </w:r>
      <w:r>
        <w:rPr>
          <w:rFonts w:hint="eastAsia" w:ascii="微软雅黑" w:hAnsi="微软雅黑" w:eastAsia="微软雅黑" w:cs="微软雅黑"/>
          <w:bCs/>
          <w:color w:val="auto"/>
          <w:sz w:val="24"/>
          <w:szCs w:val="24"/>
          <w:highlight w:val="none"/>
        </w:rPr>
        <w:t>年</w:t>
      </w:r>
      <w:r>
        <w:rPr>
          <w:rFonts w:hint="eastAsia" w:ascii="微软雅黑" w:hAnsi="微软雅黑" w:eastAsia="微软雅黑" w:cs="微软雅黑"/>
          <w:bCs/>
          <w:color w:val="auto"/>
          <w:sz w:val="24"/>
          <w:szCs w:val="24"/>
          <w:highlight w:val="none"/>
          <w:u w:val="single"/>
          <w:lang w:val="en-US" w:eastAsia="zh-CN"/>
        </w:rPr>
        <w:t>10</w:t>
      </w:r>
      <w:r>
        <w:rPr>
          <w:rFonts w:hint="eastAsia" w:ascii="微软雅黑" w:hAnsi="微软雅黑" w:eastAsia="微软雅黑" w:cs="微软雅黑"/>
          <w:bCs/>
          <w:color w:val="auto"/>
          <w:sz w:val="24"/>
          <w:szCs w:val="24"/>
          <w:highlight w:val="none"/>
        </w:rPr>
        <w:t>月</w:t>
      </w:r>
      <w:r>
        <w:rPr>
          <w:rFonts w:hint="eastAsia" w:ascii="微软雅黑" w:hAnsi="微软雅黑" w:eastAsia="微软雅黑" w:cs="微软雅黑"/>
          <w:bCs/>
          <w:color w:val="auto"/>
          <w:sz w:val="24"/>
          <w:szCs w:val="24"/>
          <w:highlight w:val="none"/>
          <w:u w:val="single"/>
          <w:lang w:val="en-US" w:eastAsia="zh-CN"/>
        </w:rPr>
        <w:t>25</w:t>
      </w:r>
      <w:r>
        <w:rPr>
          <w:rFonts w:hint="eastAsia" w:ascii="微软雅黑" w:hAnsi="微软雅黑" w:eastAsia="微软雅黑" w:cs="微软雅黑"/>
          <w:bCs/>
          <w:color w:val="auto"/>
          <w:sz w:val="24"/>
          <w:szCs w:val="24"/>
          <w:highlight w:val="none"/>
        </w:rPr>
        <w:t>日</w:t>
      </w:r>
      <w:r>
        <w:rPr>
          <w:rFonts w:hint="eastAsia" w:ascii="微软雅黑" w:hAnsi="微软雅黑" w:eastAsia="微软雅黑" w:cs="微软雅黑"/>
          <w:bCs/>
          <w:sz w:val="24"/>
          <w:szCs w:val="24"/>
          <w:highlight w:val="none"/>
          <w:lang w:eastAsia="zh-CN"/>
        </w:rPr>
        <w:t>（未在招标网上注册过的供应商，因注册后需要审核，请至少提前一天进行注册）。</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4.2报名资料</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报名资料于报名截止时间前上传至吉利控股集团招标采购平台，报名资料包含但不限于以下内容：</w:t>
      </w:r>
    </w:p>
    <w:p>
      <w:pPr>
        <w:pStyle w:val="2"/>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val="en-US" w:eastAsia="zh-CN"/>
        </w:rPr>
        <w:t xml:space="preserve">4.2.1 </w:t>
      </w:r>
      <w:r>
        <w:rPr>
          <w:rFonts w:hint="eastAsia" w:ascii="微软雅黑" w:hAnsi="微软雅黑" w:eastAsia="微软雅黑" w:cs="微软雅黑"/>
          <w:b w:val="0"/>
          <w:bCs/>
          <w:sz w:val="24"/>
          <w:szCs w:val="24"/>
        </w:rPr>
        <w:t>三证合一的营业执照副本</w:t>
      </w:r>
      <w:r>
        <w:rPr>
          <w:rFonts w:hint="eastAsia" w:ascii="微软雅黑" w:hAnsi="微软雅黑" w:eastAsia="微软雅黑" w:cs="微软雅黑"/>
          <w:b w:val="0"/>
          <w:bCs/>
          <w:sz w:val="24"/>
          <w:szCs w:val="24"/>
          <w:lang w:eastAsia="zh-CN"/>
        </w:rPr>
        <w:t>，</w:t>
      </w:r>
      <w:r>
        <w:rPr>
          <w:rFonts w:hint="eastAsia" w:ascii="微软雅黑" w:hAnsi="微软雅黑" w:eastAsia="微软雅黑" w:cs="微软雅黑"/>
          <w:b w:val="0"/>
          <w:bCs/>
          <w:color w:val="auto"/>
          <w:sz w:val="24"/>
          <w:szCs w:val="24"/>
          <w:lang w:val="en-US" w:eastAsia="zh-CN"/>
        </w:rPr>
        <w:t>代理商提供代理授权书</w:t>
      </w:r>
      <w:r>
        <w:rPr>
          <w:rFonts w:hint="eastAsia" w:ascii="微软雅黑" w:hAnsi="微软雅黑" w:eastAsia="微软雅黑" w:cs="微软雅黑"/>
          <w:b w:val="0"/>
          <w:bCs/>
          <w:sz w:val="24"/>
          <w:szCs w:val="24"/>
        </w:rPr>
        <w:t>；</w:t>
      </w:r>
    </w:p>
    <w:p>
      <w:pPr>
        <w:pStyle w:val="2"/>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val="en-US" w:eastAsia="zh-CN"/>
        </w:rPr>
        <w:t xml:space="preserve">4.2.2 </w:t>
      </w:r>
      <w:r>
        <w:rPr>
          <w:rFonts w:hint="eastAsia" w:ascii="微软雅黑" w:hAnsi="微软雅黑" w:eastAsia="微软雅黑" w:cs="微软雅黑"/>
          <w:b w:val="0"/>
          <w:bCs/>
          <w:sz w:val="24"/>
          <w:szCs w:val="24"/>
        </w:rPr>
        <w:t>类似项目业绩证明及证明材料（提供合同扫描件，涉及机密部分可隐去）；</w:t>
      </w:r>
    </w:p>
    <w:p>
      <w:pPr>
        <w:pStyle w:val="2"/>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val="en-US" w:eastAsia="zh-CN"/>
        </w:rPr>
        <w:t xml:space="preserve">4.2.3 </w:t>
      </w:r>
      <w:r>
        <w:rPr>
          <w:rFonts w:hint="eastAsia" w:ascii="微软雅黑" w:hAnsi="微软雅黑" w:eastAsia="微软雅黑" w:cs="微软雅黑"/>
          <w:b w:val="0"/>
          <w:bCs/>
          <w:sz w:val="24"/>
          <w:szCs w:val="24"/>
        </w:rPr>
        <w:t>企业概况及履约能力说明；</w:t>
      </w:r>
    </w:p>
    <w:p>
      <w:pPr>
        <w:pStyle w:val="2"/>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微软雅黑" w:hAnsi="微软雅黑" w:eastAsia="微软雅黑" w:cs="微软雅黑"/>
          <w:b w:val="0"/>
          <w:bCs/>
          <w:color w:val="000000" w:themeColor="text1"/>
          <w:kern w:val="0"/>
          <w:sz w:val="24"/>
          <w:szCs w:val="24"/>
          <w:lang w:eastAsia="zh-CN"/>
          <w14:textFill>
            <w14:solidFill>
              <w14:schemeClr w14:val="tx1"/>
            </w14:solidFill>
          </w14:textFill>
        </w:rPr>
      </w:pPr>
      <w:r>
        <w:rPr>
          <w:rFonts w:hint="eastAsia" w:ascii="微软雅黑" w:hAnsi="微软雅黑" w:eastAsia="微软雅黑" w:cs="微软雅黑"/>
          <w:b w:val="0"/>
          <w:bCs/>
          <w:sz w:val="24"/>
          <w:szCs w:val="24"/>
          <w:lang w:val="en-US" w:eastAsia="zh-CN"/>
        </w:rPr>
        <w:t xml:space="preserve">4.2.4 </w:t>
      </w:r>
      <w:r>
        <w:rPr>
          <w:rFonts w:hint="eastAsia" w:ascii="微软雅黑" w:hAnsi="微软雅黑" w:eastAsia="微软雅黑" w:cs="微软雅黑"/>
          <w:b w:val="0"/>
          <w:bCs/>
          <w:color w:val="000000" w:themeColor="text1"/>
          <w:kern w:val="0"/>
          <w:sz w:val="24"/>
          <w:szCs w:val="24"/>
          <w:lang w:eastAsia="zh-CN"/>
          <w14:textFill>
            <w14:solidFill>
              <w14:schemeClr w14:val="tx1"/>
            </w14:solidFill>
          </w14:textFill>
        </w:rPr>
        <w:t>近三年的财务报表资料（财务审计报告或纳税申报表，并在申报系统上导出或截图的资产负债表、利润表</w:t>
      </w:r>
      <w:r>
        <w:rPr>
          <w:rFonts w:hint="eastAsia" w:ascii="微软雅黑" w:hAnsi="微软雅黑" w:eastAsia="微软雅黑" w:cs="微软雅黑"/>
          <w:b w:val="0"/>
          <w:bCs/>
          <w:color w:val="000000" w:themeColor="text1"/>
          <w:kern w:val="0"/>
          <w:sz w:val="24"/>
          <w:szCs w:val="24"/>
          <w:lang w:val="en-US" w:eastAsia="zh-CN"/>
          <w14:textFill>
            <w14:solidFill>
              <w14:schemeClr w14:val="tx1"/>
            </w14:solidFill>
          </w14:textFill>
        </w:rPr>
        <w:t>/损益表、现金流量表</w:t>
      </w:r>
      <w:r>
        <w:rPr>
          <w:rFonts w:hint="eastAsia" w:ascii="微软雅黑" w:hAnsi="微软雅黑" w:eastAsia="微软雅黑" w:cs="微软雅黑"/>
          <w:b w:val="0"/>
          <w:bCs/>
          <w:color w:val="000000" w:themeColor="text1"/>
          <w:kern w:val="0"/>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4.3提交材料要求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a、合同请扫描成一份PDF文件，严禁将合同分成一张张图片上传；</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b、请提供合同原件扫描件、合同扫描件需体现合作对象、合作时间、服务内容等信息（价格部分可隐藏）；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rPr>
        <w:t>c、合同扫描件请命名：XXXX公司+与XXXX公司合作合同（合同内容：XXX）</w:t>
      </w:r>
      <w:r>
        <w:rPr>
          <w:rFonts w:hint="eastAsia" w:ascii="微软雅黑" w:hAnsi="微软雅黑" w:eastAsia="微软雅黑" w:cs="微软雅黑"/>
          <w:bCs/>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b w:val="0"/>
          <w:bCs/>
          <w:color w:val="000000" w:themeColor="text1"/>
          <w:kern w:val="0"/>
          <w:sz w:val="24"/>
          <w:szCs w:val="24"/>
          <w:lang w:eastAsia="zh-CN"/>
          <w14:textFill>
            <w14:solidFill>
              <w14:schemeClr w14:val="tx1"/>
            </w14:solidFill>
          </w14:textFill>
        </w:rPr>
      </w:pPr>
      <w:r>
        <w:rPr>
          <w:rFonts w:hint="eastAsia" w:ascii="微软雅黑" w:hAnsi="微软雅黑" w:eastAsia="微软雅黑" w:cs="微软雅黑"/>
          <w:bCs/>
          <w:sz w:val="24"/>
          <w:szCs w:val="24"/>
        </w:rPr>
        <w:t>备注：请</w:t>
      </w:r>
      <w:r>
        <w:rPr>
          <w:rFonts w:hint="eastAsia" w:ascii="微软雅黑" w:hAnsi="微软雅黑" w:eastAsia="微软雅黑" w:cs="微软雅黑"/>
          <w:bCs/>
          <w:sz w:val="24"/>
          <w:szCs w:val="24"/>
          <w:lang w:eastAsia="zh-CN"/>
        </w:rPr>
        <w:t>报名单位</w:t>
      </w:r>
      <w:r>
        <w:rPr>
          <w:rFonts w:hint="eastAsia" w:ascii="微软雅黑" w:hAnsi="微软雅黑" w:eastAsia="微软雅黑" w:cs="微软雅黑"/>
          <w:bCs/>
          <w:sz w:val="24"/>
          <w:szCs w:val="24"/>
        </w:rPr>
        <w:t>务必按照要求提交业绩材料，如因</w:t>
      </w:r>
      <w:r>
        <w:rPr>
          <w:rFonts w:hint="eastAsia" w:ascii="微软雅黑" w:hAnsi="微软雅黑" w:eastAsia="微软雅黑" w:cs="微软雅黑"/>
          <w:bCs/>
          <w:sz w:val="24"/>
          <w:szCs w:val="24"/>
          <w:lang w:eastAsia="zh-CN"/>
        </w:rPr>
        <w:t>报名单位</w:t>
      </w:r>
      <w:r>
        <w:rPr>
          <w:rFonts w:hint="eastAsia" w:ascii="微软雅黑" w:hAnsi="微软雅黑" w:eastAsia="微软雅黑" w:cs="微软雅黑"/>
          <w:bCs/>
          <w:sz w:val="24"/>
          <w:szCs w:val="24"/>
        </w:rPr>
        <w:t>提交的材料不符合要求而造成</w:t>
      </w:r>
      <w:r>
        <w:rPr>
          <w:rFonts w:hint="eastAsia" w:ascii="微软雅黑" w:hAnsi="微软雅黑" w:eastAsia="微软雅黑" w:cs="微软雅黑"/>
          <w:bCs/>
          <w:sz w:val="24"/>
          <w:szCs w:val="24"/>
          <w:lang w:eastAsia="zh-CN"/>
        </w:rPr>
        <w:t>报名单位</w:t>
      </w:r>
      <w:r>
        <w:rPr>
          <w:rFonts w:hint="eastAsia" w:ascii="微软雅黑" w:hAnsi="微软雅黑" w:eastAsia="微软雅黑" w:cs="微软雅黑"/>
          <w:bCs/>
          <w:sz w:val="24"/>
          <w:szCs w:val="24"/>
        </w:rPr>
        <w:t>被淘汰，招标方不承担任何责任。以上资料扫描命名打包，报名资料需在报名截止时间前上传，逾期报名无效。</w:t>
      </w:r>
    </w:p>
    <w:p>
      <w:pPr>
        <w:keepNext w:val="0"/>
        <w:keepLines w:val="0"/>
        <w:pageBreakBefore w:val="0"/>
        <w:kinsoku/>
        <w:overflowPunct/>
        <w:topLinePunct w:val="0"/>
        <w:bidi w:val="0"/>
        <w:spacing w:line="42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5.招标文件的获取</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5.1报名截止后，对所有报名单位进行资格初审，初审合格后购买招标文件；</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rPr>
        <w:t>5.2招标文件每套售价</w:t>
      </w:r>
      <w:r>
        <w:rPr>
          <w:rFonts w:hint="eastAsia" w:ascii="微软雅黑" w:hAnsi="微软雅黑" w:eastAsia="微软雅黑" w:cs="微软雅黑"/>
          <w:bCs/>
          <w:sz w:val="24"/>
          <w:szCs w:val="24"/>
          <w:highlight w:val="none"/>
          <w:u w:val="single"/>
        </w:rPr>
        <w:t xml:space="preserve"> </w:t>
      </w:r>
      <w:r>
        <w:rPr>
          <w:rFonts w:hint="eastAsia" w:ascii="微软雅黑" w:hAnsi="微软雅黑" w:eastAsia="微软雅黑" w:cs="微软雅黑"/>
          <w:bCs/>
          <w:sz w:val="24"/>
          <w:szCs w:val="24"/>
          <w:highlight w:val="none"/>
          <w:u w:val="single"/>
          <w:lang w:val="en-US" w:eastAsia="zh-CN"/>
        </w:rPr>
        <w:t>100</w:t>
      </w:r>
      <w:r>
        <w:rPr>
          <w:rFonts w:hint="eastAsia" w:ascii="微软雅黑" w:hAnsi="微软雅黑" w:eastAsia="微软雅黑" w:cs="微软雅黑"/>
          <w:bCs/>
          <w:sz w:val="24"/>
          <w:szCs w:val="24"/>
          <w:highlight w:val="none"/>
          <w:u w:val="single"/>
        </w:rPr>
        <w:t xml:space="preserve"> </w:t>
      </w:r>
      <w:r>
        <w:rPr>
          <w:rFonts w:hint="eastAsia" w:ascii="微软雅黑" w:hAnsi="微软雅黑" w:eastAsia="微软雅黑" w:cs="微软雅黑"/>
          <w:bCs/>
          <w:sz w:val="24"/>
          <w:szCs w:val="24"/>
          <w:highlight w:val="none"/>
        </w:rPr>
        <w:t>元，售后不退</w:t>
      </w:r>
      <w:r>
        <w:rPr>
          <w:rFonts w:hint="eastAsia" w:ascii="微软雅黑" w:hAnsi="微软雅黑" w:eastAsia="微软雅黑" w:cs="微软雅黑"/>
          <w:bCs/>
          <w:sz w:val="24"/>
          <w:szCs w:val="24"/>
          <w:highlight w:val="none"/>
          <w:lang w:eastAsia="zh-CN"/>
        </w:rPr>
        <w:t>。</w:t>
      </w:r>
    </w:p>
    <w:p>
      <w:pPr>
        <w:snapToGrid w:val="0"/>
        <w:spacing w:line="440" w:lineRule="exact"/>
        <w:ind w:firstLine="480" w:firstLineChars="200"/>
        <w:rPr>
          <w:rFonts w:hint="eastAsia"/>
          <w:lang w:eastAsia="zh-CN"/>
        </w:rPr>
      </w:pPr>
      <w:r>
        <w:rPr>
          <w:rFonts w:hint="eastAsia" w:ascii="微软雅黑" w:hAnsi="微软雅黑" w:eastAsia="微软雅黑" w:cs="微软雅黑"/>
          <w:bCs/>
          <w:color w:val="auto"/>
          <w:sz w:val="24"/>
          <w:szCs w:val="24"/>
        </w:rPr>
        <w:t>5.3 标书费请汇至：</w:t>
      </w:r>
    </w:p>
    <w:p>
      <w:pPr>
        <w:snapToGrid w:val="0"/>
        <w:spacing w:line="440" w:lineRule="exact"/>
        <w:ind w:firstLine="480" w:firstLineChars="200"/>
        <w:rPr>
          <w:rFonts w:hint="eastAsia" w:ascii="微软雅黑" w:hAnsi="微软雅黑" w:eastAsia="微软雅黑" w:cs="微软雅黑"/>
          <w:bCs/>
          <w:color w:val="auto"/>
          <w:sz w:val="24"/>
          <w:szCs w:val="24"/>
          <w:u w:val="single"/>
        </w:rPr>
      </w:pPr>
      <w:r>
        <w:rPr>
          <w:rFonts w:hint="eastAsia" w:ascii="微软雅黑" w:hAnsi="微软雅黑" w:eastAsia="微软雅黑" w:cs="微软雅黑"/>
          <w:b w:val="0"/>
          <w:bCs/>
          <w:color w:val="auto"/>
          <w:sz w:val="24"/>
          <w:szCs w:val="24"/>
          <w:u w:val="none"/>
        </w:rPr>
        <w:t>开户户名：</w:t>
      </w:r>
      <w:r>
        <w:rPr>
          <w:rFonts w:hint="eastAsia" w:ascii="微软雅黑" w:hAnsi="微软雅黑" w:eastAsia="微软雅黑" w:cs="微软雅黑"/>
          <w:bCs/>
          <w:color w:val="auto"/>
          <w:sz w:val="24"/>
          <w:szCs w:val="24"/>
          <w:u w:val="single"/>
        </w:rPr>
        <w:t>吉利百矿集团有限公司</w:t>
      </w:r>
    </w:p>
    <w:p>
      <w:pPr>
        <w:snapToGrid w:val="0"/>
        <w:spacing w:line="440" w:lineRule="exact"/>
        <w:ind w:firstLine="480" w:firstLineChars="200"/>
        <w:rPr>
          <w:rFonts w:hint="eastAsia" w:ascii="微软雅黑" w:hAnsi="微软雅黑" w:eastAsia="微软雅黑" w:cs="微软雅黑"/>
          <w:bCs/>
          <w:color w:val="auto"/>
          <w:sz w:val="24"/>
          <w:szCs w:val="24"/>
          <w:u w:val="single"/>
        </w:rPr>
      </w:pPr>
      <w:r>
        <w:rPr>
          <w:rFonts w:hint="eastAsia" w:ascii="微软雅黑" w:hAnsi="微软雅黑" w:eastAsia="微软雅黑" w:cs="微软雅黑"/>
          <w:bCs/>
          <w:color w:val="auto"/>
          <w:sz w:val="24"/>
          <w:szCs w:val="24"/>
          <w:u w:val="none"/>
        </w:rPr>
        <w:t>开户银行：</w:t>
      </w:r>
      <w:r>
        <w:rPr>
          <w:rFonts w:hint="eastAsia" w:ascii="微软雅黑" w:hAnsi="微软雅黑" w:eastAsia="微软雅黑" w:cs="微软雅黑"/>
          <w:bCs/>
          <w:color w:val="auto"/>
          <w:sz w:val="24"/>
          <w:szCs w:val="24"/>
          <w:u w:val="single"/>
        </w:rPr>
        <w:t>建设银行百色中山支行 </w:t>
      </w:r>
    </w:p>
    <w:p>
      <w:pPr>
        <w:snapToGrid w:val="0"/>
        <w:spacing w:line="440" w:lineRule="exact"/>
        <w:ind w:firstLine="480" w:firstLineChars="200"/>
        <w:rPr>
          <w:rFonts w:hint="eastAsia"/>
        </w:rPr>
      </w:pPr>
      <w:r>
        <w:rPr>
          <w:rFonts w:hint="eastAsia" w:ascii="微软雅黑" w:hAnsi="微软雅黑" w:eastAsia="微软雅黑" w:cs="微软雅黑"/>
          <w:bCs/>
          <w:color w:val="auto"/>
          <w:sz w:val="24"/>
          <w:szCs w:val="24"/>
          <w:u w:val="none"/>
        </w:rPr>
        <w:t>开户账号：</w:t>
      </w:r>
      <w:r>
        <w:rPr>
          <w:rFonts w:hint="eastAsia" w:ascii="微软雅黑" w:hAnsi="微软雅黑" w:eastAsia="微软雅黑" w:cs="微软雅黑"/>
          <w:bCs/>
          <w:color w:val="auto"/>
          <w:sz w:val="24"/>
          <w:szCs w:val="24"/>
          <w:u w:val="single"/>
        </w:rPr>
        <w:t>45001676114050702700</w:t>
      </w:r>
    </w:p>
    <w:p>
      <w:pPr>
        <w:keepNext w:val="0"/>
        <w:keepLines w:val="0"/>
        <w:pageBreakBefore w:val="0"/>
        <w:numPr>
          <w:ilvl w:val="0"/>
          <w:numId w:val="1"/>
        </w:numPr>
        <w:kinsoku/>
        <w:overflowPunct/>
        <w:topLinePunct w:val="0"/>
        <w:bidi w:val="0"/>
        <w:spacing w:line="42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发布公告的媒介</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Cs/>
          <w:sz w:val="24"/>
          <w:szCs w:val="24"/>
        </w:rPr>
        <w:t>本次招标公告只在吉利控股集团招标采购平台</w:t>
      </w:r>
      <w:r>
        <w:rPr>
          <w:rFonts w:hint="eastAsia" w:ascii="微软雅黑" w:hAnsi="微软雅黑" w:eastAsia="微软雅黑" w:cs="微软雅黑"/>
          <w:bCs/>
          <w:sz w:val="24"/>
          <w:szCs w:val="24"/>
          <w:lang w:val="en-US" w:eastAsia="zh-CN"/>
        </w:rPr>
        <w:t>gl</w:t>
      </w:r>
      <w:r>
        <w:rPr>
          <w:rFonts w:hint="eastAsia" w:ascii="微软雅黑" w:hAnsi="微软雅黑" w:eastAsia="微软雅黑" w:cs="微软雅黑"/>
          <w:bCs/>
          <w:sz w:val="24"/>
          <w:szCs w:val="24"/>
        </w:rPr>
        <w:t>zb.geely.com上发布，其他媒体转载无效。</w:t>
      </w:r>
    </w:p>
    <w:p>
      <w:pPr>
        <w:keepNext w:val="0"/>
        <w:keepLines w:val="0"/>
        <w:pageBreakBefore w:val="0"/>
        <w:kinsoku/>
        <w:overflowPunct/>
        <w:topLinePunct w:val="0"/>
        <w:bidi w:val="0"/>
        <w:spacing w:line="42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7.联系方式</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招标人：</w:t>
      </w:r>
      <w:r>
        <w:rPr>
          <w:rFonts w:hint="eastAsia" w:ascii="微软雅黑" w:hAnsi="微软雅黑" w:eastAsia="微软雅黑" w:cs="微软雅黑"/>
          <w:b w:val="0"/>
          <w:bCs/>
          <w:color w:val="auto"/>
          <w:sz w:val="24"/>
          <w:szCs w:val="24"/>
          <w:u w:val="none"/>
          <w:lang w:eastAsia="zh-CN"/>
        </w:rPr>
        <w:t>靖西市锰矿有限责任</w:t>
      </w:r>
      <w:r>
        <w:rPr>
          <w:rFonts w:hint="eastAsia" w:ascii="微软雅黑" w:hAnsi="微软雅黑" w:eastAsia="微软雅黑" w:cs="微软雅黑"/>
          <w:b w:val="0"/>
          <w:bCs/>
          <w:color w:val="auto"/>
          <w:sz w:val="24"/>
          <w:szCs w:val="24"/>
          <w:u w:val="none"/>
        </w:rPr>
        <w:t>公</w:t>
      </w:r>
      <w:r>
        <w:rPr>
          <w:rFonts w:hint="eastAsia" w:ascii="微软雅黑" w:hAnsi="微软雅黑" w:eastAsia="微软雅黑" w:cs="微软雅黑"/>
          <w:b w:val="0"/>
          <w:bCs/>
          <w:color w:val="auto"/>
          <w:sz w:val="24"/>
          <w:szCs w:val="24"/>
        </w:rPr>
        <w:t xml:space="preserve">司 </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rPr>
        <w:t>招标人地址：</w:t>
      </w:r>
      <w:r>
        <w:rPr>
          <w:rFonts w:hint="eastAsia" w:ascii="微软雅黑" w:hAnsi="微软雅黑" w:eastAsia="微软雅黑" w:cs="微软雅黑"/>
          <w:b w:val="0"/>
          <w:bCs/>
          <w:color w:val="auto"/>
          <w:sz w:val="24"/>
          <w:szCs w:val="24"/>
          <w:lang w:eastAsia="zh-CN"/>
        </w:rPr>
        <w:t>广西百色市靖西市湖润镇</w:t>
      </w:r>
      <w:r>
        <w:rPr>
          <w:rFonts w:hint="eastAsia" w:ascii="微软雅黑" w:hAnsi="微软雅黑" w:eastAsia="微软雅黑" w:cs="微软雅黑"/>
          <w:b w:val="0"/>
          <w:bCs/>
          <w:color w:val="auto"/>
          <w:sz w:val="24"/>
          <w:szCs w:val="24"/>
          <w:lang w:val="en-US" w:eastAsia="zh-CN"/>
        </w:rPr>
        <w:t>388号</w:t>
      </w:r>
    </w:p>
    <w:p>
      <w:pPr>
        <w:adjustRightInd w:val="0"/>
        <w:snapToGrid w:val="0"/>
        <w:spacing w:line="440" w:lineRule="exact"/>
        <w:ind w:firstLine="480" w:firstLineChars="200"/>
        <w:rPr>
          <w:rFonts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招标组织单位：吉利百矿集团有限公司</w:t>
      </w:r>
    </w:p>
    <w:p>
      <w:pPr>
        <w:adjustRightInd w:val="0"/>
        <w:snapToGrid w:val="0"/>
        <w:spacing w:line="440" w:lineRule="exact"/>
        <w:ind w:firstLine="480" w:firstLineChars="200"/>
        <w:rPr>
          <w:rFonts w:hint="default"/>
          <w:lang w:val="en-US" w:eastAsia="zh-CN"/>
        </w:rPr>
      </w:pPr>
      <w:r>
        <w:rPr>
          <w:rFonts w:hint="eastAsia" w:ascii="微软雅黑" w:hAnsi="微软雅黑" w:eastAsia="微软雅黑" w:cs="微软雅黑"/>
          <w:bCs/>
          <w:color w:val="auto"/>
          <w:sz w:val="24"/>
          <w:szCs w:val="24"/>
        </w:rPr>
        <w:t>招标组织单位地址：广西百色市右江区东增路188号</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微软雅黑" w:hAnsi="微软雅黑" w:eastAsia="微软雅黑" w:cs="微软雅黑"/>
          <w:b w:val="0"/>
          <w:bCs/>
          <w:color w:val="auto"/>
          <w:sz w:val="24"/>
          <w:szCs w:val="24"/>
          <w:u w:val="single"/>
          <w:lang w:val="en-US" w:eastAsia="zh-CN"/>
        </w:rPr>
      </w:pPr>
      <w:r>
        <w:rPr>
          <w:rFonts w:hint="eastAsia" w:ascii="微软雅黑" w:hAnsi="微软雅黑" w:eastAsia="微软雅黑" w:cs="微软雅黑"/>
          <w:b w:val="0"/>
          <w:bCs/>
          <w:color w:val="auto"/>
          <w:sz w:val="24"/>
          <w:szCs w:val="24"/>
        </w:rPr>
        <w:t>邮编：</w:t>
      </w:r>
      <w:r>
        <w:rPr>
          <w:rFonts w:hint="eastAsia" w:ascii="微软雅黑" w:hAnsi="微软雅黑" w:eastAsia="微软雅黑" w:cs="微软雅黑"/>
          <w:b w:val="0"/>
          <w:bCs/>
          <w:color w:val="auto"/>
          <w:sz w:val="24"/>
          <w:szCs w:val="24"/>
          <w:u w:val="none"/>
          <w:lang w:val="en-US" w:eastAsia="zh-CN"/>
        </w:rPr>
        <w:t>533803</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bCs/>
          <w:color w:val="auto"/>
          <w:sz w:val="24"/>
          <w:szCs w:val="24"/>
          <w:u w:val="none"/>
        </w:rPr>
      </w:pPr>
      <w:r>
        <w:rPr>
          <w:rFonts w:hint="eastAsia" w:ascii="微软雅黑" w:hAnsi="微软雅黑" w:eastAsia="微软雅黑" w:cs="微软雅黑"/>
          <w:bCs/>
          <w:color w:val="auto"/>
          <w:sz w:val="24"/>
          <w:szCs w:val="24"/>
          <w:u w:val="none"/>
        </w:rPr>
        <w:t>商务：</w:t>
      </w:r>
      <w:r>
        <w:rPr>
          <w:rFonts w:hint="eastAsia" w:ascii="微软雅黑" w:hAnsi="微软雅黑" w:eastAsia="微软雅黑" w:cs="微软雅黑"/>
          <w:bCs/>
          <w:color w:val="auto"/>
          <w:sz w:val="24"/>
          <w:szCs w:val="24"/>
          <w:u w:val="none"/>
          <w:lang w:val="en-US" w:eastAsia="zh-CN"/>
        </w:rPr>
        <w:t>韦  慧</w:t>
      </w:r>
      <w:r>
        <w:rPr>
          <w:rFonts w:hint="eastAsia" w:ascii="微软雅黑" w:hAnsi="微软雅黑" w:eastAsia="微软雅黑" w:cs="微软雅黑"/>
          <w:bCs/>
          <w:color w:val="auto"/>
          <w:sz w:val="24"/>
          <w:szCs w:val="24"/>
          <w:u w:val="none"/>
        </w:rPr>
        <w:t xml:space="preserve">  手机号</w:t>
      </w:r>
      <w:r>
        <w:rPr>
          <w:rFonts w:hint="eastAsia" w:ascii="微软雅黑" w:hAnsi="微软雅黑" w:eastAsia="微软雅黑" w:cs="微软雅黑"/>
          <w:bCs/>
          <w:color w:val="auto"/>
          <w:sz w:val="24"/>
          <w:szCs w:val="24"/>
          <w:u w:val="none"/>
          <w:lang w:val="en-US" w:eastAsia="zh-CN"/>
        </w:rPr>
        <w:t>：</w:t>
      </w:r>
      <w:r>
        <w:rPr>
          <w:rFonts w:hint="eastAsia" w:ascii="微软雅黑" w:hAnsi="微软雅黑" w:eastAsia="微软雅黑" w:cs="微软雅黑"/>
          <w:color w:val="auto"/>
          <w:sz w:val="24"/>
          <w:szCs w:val="24"/>
          <w:u w:val="none"/>
          <w:lang w:val="en-US" w:eastAsia="zh-CN"/>
        </w:rPr>
        <w:t xml:space="preserve">17878666953 </w:t>
      </w:r>
      <w:r>
        <w:rPr>
          <w:rFonts w:hint="eastAsia" w:ascii="微软雅黑" w:hAnsi="微软雅黑" w:eastAsia="微软雅黑" w:cs="微软雅黑"/>
          <w:bCs/>
          <w:color w:val="auto"/>
          <w:sz w:val="24"/>
          <w:szCs w:val="24"/>
          <w:u w:val="none"/>
        </w:rPr>
        <w:t>E-mail :</w:t>
      </w:r>
      <w:r>
        <w:rPr>
          <w:rFonts w:hint="eastAsia" w:ascii="微软雅黑" w:hAnsi="微软雅黑" w:eastAsia="微软雅黑" w:cs="微软雅黑"/>
          <w:color w:val="auto"/>
          <w:sz w:val="24"/>
          <w:szCs w:val="24"/>
          <w:u w:val="none"/>
          <w:lang w:eastAsia="zh-CN"/>
        </w:rPr>
        <w:t>Hui.Wei01@geely.com</w:t>
      </w:r>
      <w:r>
        <w:rPr>
          <w:rFonts w:hint="eastAsia" w:ascii="微软雅黑" w:hAnsi="微软雅黑" w:eastAsia="微软雅黑" w:cs="微软雅黑"/>
          <w:bCs/>
          <w:color w:val="auto"/>
          <w:sz w:val="24"/>
          <w:szCs w:val="24"/>
          <w:u w:val="none"/>
        </w:rPr>
        <w:t xml:space="preserve"> </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微软雅黑" w:hAnsi="微软雅黑" w:eastAsia="微软雅黑" w:cs="微软雅黑"/>
          <w:b w:val="0"/>
          <w:bCs/>
          <w:color w:val="auto"/>
          <w:sz w:val="24"/>
          <w:szCs w:val="24"/>
          <w:u w:val="none"/>
          <w:lang w:val="en-US" w:eastAsia="zh-CN"/>
        </w:rPr>
      </w:pPr>
      <w:r>
        <w:rPr>
          <w:rFonts w:hint="eastAsia" w:ascii="微软雅黑" w:hAnsi="微软雅黑" w:eastAsia="微软雅黑" w:cs="微软雅黑"/>
          <w:bCs/>
          <w:color w:val="auto"/>
          <w:sz w:val="24"/>
          <w:szCs w:val="24"/>
          <w:u w:val="none"/>
        </w:rPr>
        <w:t>技术：</w:t>
      </w:r>
      <w:r>
        <w:rPr>
          <w:rFonts w:hint="eastAsia" w:ascii="微软雅黑" w:hAnsi="微软雅黑" w:eastAsia="微软雅黑" w:cs="微软雅黑"/>
          <w:bCs/>
          <w:color w:val="auto"/>
          <w:sz w:val="24"/>
          <w:szCs w:val="24"/>
          <w:u w:val="none"/>
          <w:lang w:eastAsia="zh-CN"/>
        </w:rPr>
        <w:t>李</w:t>
      </w:r>
      <w:r>
        <w:rPr>
          <w:rFonts w:hint="eastAsia" w:ascii="微软雅黑" w:hAnsi="微软雅黑" w:eastAsia="微软雅黑" w:cs="微软雅黑"/>
          <w:bCs/>
          <w:color w:val="auto"/>
          <w:sz w:val="24"/>
          <w:szCs w:val="24"/>
          <w:u w:val="none"/>
          <w:lang w:val="en-US" w:eastAsia="zh-CN"/>
        </w:rPr>
        <w:t xml:space="preserve">  </w:t>
      </w:r>
      <w:r>
        <w:rPr>
          <w:rFonts w:hint="eastAsia" w:ascii="微软雅黑" w:hAnsi="微软雅黑" w:eastAsia="微软雅黑" w:cs="微软雅黑"/>
          <w:bCs/>
          <w:color w:val="auto"/>
          <w:sz w:val="24"/>
          <w:szCs w:val="24"/>
          <w:u w:val="none"/>
          <w:lang w:eastAsia="zh-CN"/>
        </w:rPr>
        <w:t>倡</w:t>
      </w:r>
      <w:r>
        <w:rPr>
          <w:rFonts w:hint="eastAsia" w:ascii="微软雅黑" w:hAnsi="微软雅黑" w:eastAsia="微软雅黑" w:cs="微软雅黑"/>
          <w:bCs/>
          <w:color w:val="auto"/>
          <w:sz w:val="24"/>
          <w:szCs w:val="24"/>
        </w:rPr>
        <w:t xml:space="preserve">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bCs/>
          <w:color w:val="auto"/>
          <w:sz w:val="24"/>
          <w:szCs w:val="24"/>
        </w:rPr>
        <w:t>手机号：</w:t>
      </w:r>
      <w:r>
        <w:rPr>
          <w:rFonts w:hint="eastAsia" w:ascii="微软雅黑" w:hAnsi="微软雅黑" w:eastAsia="微软雅黑" w:cs="微软雅黑"/>
          <w:color w:val="auto"/>
          <w:sz w:val="24"/>
          <w:szCs w:val="24"/>
          <w:u w:val="none"/>
          <w:lang w:val="en-US" w:eastAsia="zh-CN"/>
        </w:rPr>
        <w:t>19907865019 E</w:t>
      </w:r>
      <w:r>
        <w:rPr>
          <w:rFonts w:hint="eastAsia" w:ascii="微软雅黑" w:hAnsi="微软雅黑" w:eastAsia="微软雅黑" w:cs="微软雅黑"/>
          <w:bCs/>
          <w:color w:val="auto"/>
          <w:sz w:val="24"/>
          <w:szCs w:val="24"/>
        </w:rPr>
        <w:t>-mail :</w:t>
      </w:r>
      <w:r>
        <w:rPr>
          <w:rFonts w:hint="eastAsia" w:ascii="微软雅黑" w:hAnsi="微软雅黑" w:eastAsia="微软雅黑" w:cs="微软雅黑"/>
          <w:color w:val="auto"/>
          <w:sz w:val="24"/>
          <w:szCs w:val="24"/>
        </w:rPr>
        <w:t>Chang.Li01@geely.com</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微软雅黑" w:hAnsi="微软雅黑" w:eastAsia="微软雅黑" w:cs="微软雅黑"/>
          <w:b w:val="0"/>
          <w:bCs/>
          <w:color w:val="auto"/>
          <w:sz w:val="24"/>
          <w:szCs w:val="24"/>
          <w:u w:val="none"/>
          <w:lang w:eastAsia="zh-CN"/>
        </w:rPr>
      </w:pP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微软雅黑" w:hAnsi="微软雅黑" w:eastAsia="微软雅黑" w:cs="微软雅黑"/>
          <w:b w:val="0"/>
          <w:bCs/>
          <w:color w:val="7030A0"/>
          <w:sz w:val="24"/>
          <w:szCs w:val="24"/>
        </w:rPr>
      </w:pPr>
      <w:r>
        <w:rPr>
          <w:rFonts w:hint="eastAsia" w:ascii="微软雅黑" w:hAnsi="微软雅黑" w:eastAsia="微软雅黑" w:cs="微软雅黑"/>
          <w:b w:val="0"/>
          <w:bCs/>
          <w:color w:val="auto"/>
          <w:sz w:val="24"/>
          <w:szCs w:val="24"/>
        </w:rPr>
        <w:t xml:space="preserve">注：无论投标结果如何，投标人自行承担所有与参加投标活动有关的全部费用。 </w:t>
      </w:r>
      <w:r>
        <w:rPr>
          <w:rFonts w:hint="eastAsia" w:ascii="微软雅黑" w:hAnsi="微软雅黑" w:eastAsia="微软雅黑" w:cs="微软雅黑"/>
          <w:b w:val="0"/>
          <w:bCs/>
          <w:color w:val="7030A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hint="eastAsia" w:ascii="微软雅黑" w:hAnsi="微软雅黑" w:eastAsia="微软雅黑" w:cs="微软雅黑"/>
          <w:b w:val="0"/>
          <w:bCs/>
          <w:color w:val="7030A0"/>
          <w:sz w:val="24"/>
          <w:szCs w:val="24"/>
        </w:rPr>
      </w:pP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投诉、举报电话：0571-28098168（吉利科技</w:t>
      </w:r>
      <w:r>
        <w:rPr>
          <w:rFonts w:hint="eastAsia" w:ascii="微软雅黑" w:hAnsi="微软雅黑" w:eastAsia="微软雅黑" w:cs="微软雅黑"/>
          <w:b w:val="0"/>
          <w:bCs/>
          <w:sz w:val="24"/>
          <w:szCs w:val="24"/>
          <w:lang w:eastAsia="zh-CN"/>
        </w:rPr>
        <w:t>供应链管理</w:t>
      </w:r>
      <w:r>
        <w:rPr>
          <w:rFonts w:hint="eastAsia" w:ascii="微软雅黑" w:hAnsi="微软雅黑" w:eastAsia="微软雅黑" w:cs="微软雅黑"/>
          <w:b w:val="0"/>
          <w:bCs/>
          <w:sz w:val="24"/>
          <w:szCs w:val="24"/>
        </w:rPr>
        <w:t>部）</w:t>
      </w:r>
    </w:p>
    <w:p>
      <w:pPr>
        <w:keepNext w:val="0"/>
        <w:keepLines w:val="0"/>
        <w:pageBreakBefore w:val="0"/>
        <w:kinsoku/>
        <w:overflowPunct/>
        <w:topLinePunct w:val="0"/>
        <w:bidi w:val="0"/>
        <w:adjustRightInd w:val="0"/>
        <w:snapToGrid w:val="0"/>
        <w:spacing w:line="420" w:lineRule="exact"/>
        <w:ind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 w:val="0"/>
          <w:bCs/>
          <w:sz w:val="24"/>
          <w:szCs w:val="24"/>
        </w:rPr>
        <w:t>举报邮箱：geelytech.bid@geely.com</w:t>
      </w:r>
      <w:r>
        <w:rPr>
          <w:rFonts w:hint="eastAsia" w:ascii="微软雅黑" w:hAnsi="微软雅黑" w:eastAsia="微软雅黑" w:cs="微软雅黑"/>
          <w:b w:val="0"/>
          <w:bCs/>
          <w:color w:val="000000"/>
          <w:kern w:val="0"/>
          <w:sz w:val="24"/>
          <w:szCs w:val="24"/>
        </w:rPr>
        <w:t xml:space="preserve">  </w:t>
      </w:r>
    </w:p>
    <w:p>
      <w:pPr>
        <w:widowControl/>
        <w:spacing w:line="440" w:lineRule="exact"/>
        <w:ind w:left="6550" w:leftChars="1445" w:hanging="3516" w:hangingChars="1465"/>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w:t>
      </w:r>
    </w:p>
    <w:p>
      <w:pPr>
        <w:pStyle w:val="2"/>
        <w:rPr>
          <w:rFonts w:hint="eastAsia"/>
        </w:rPr>
      </w:pPr>
    </w:p>
    <w:p>
      <w:pPr>
        <w:widowControl/>
        <w:spacing w:line="440" w:lineRule="exact"/>
        <w:ind w:left="6541" w:leftChars="2357" w:hanging="1591" w:hangingChars="663"/>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b w:val="0"/>
          <w:bCs w:val="0"/>
          <w:color w:val="auto"/>
          <w:kern w:val="0"/>
          <w:sz w:val="24"/>
          <w:szCs w:val="24"/>
          <w:highlight w:val="none"/>
        </w:rPr>
        <w:t>招标</w:t>
      </w:r>
      <w:r>
        <w:rPr>
          <w:rFonts w:hint="eastAsia" w:ascii="微软雅黑" w:hAnsi="微软雅黑" w:eastAsia="微软雅黑" w:cs="微软雅黑"/>
          <w:b w:val="0"/>
          <w:bCs w:val="0"/>
          <w:color w:val="auto"/>
          <w:kern w:val="0"/>
          <w:sz w:val="24"/>
          <w:szCs w:val="24"/>
          <w:highlight w:val="none"/>
          <w:lang w:eastAsia="zh-CN"/>
        </w:rPr>
        <w:t>组织单位</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kern w:val="0"/>
          <w:sz w:val="24"/>
          <w:szCs w:val="24"/>
          <w:u w:val="none"/>
        </w:rPr>
        <w:t>吉利百矿集团有限公司</w:t>
      </w:r>
      <w:r>
        <w:rPr>
          <w:rFonts w:hint="eastAsia" w:ascii="微软雅黑" w:hAnsi="微软雅黑" w:eastAsia="微软雅黑" w:cs="微软雅黑"/>
          <w:color w:val="000000"/>
          <w:kern w:val="0"/>
          <w:sz w:val="24"/>
          <w:szCs w:val="24"/>
        </w:rPr>
        <w:t xml:space="preserve"> </w:t>
      </w:r>
    </w:p>
    <w:p>
      <w:pPr>
        <w:widowControl/>
        <w:spacing w:line="440" w:lineRule="exact"/>
        <w:ind w:left="6550" w:leftChars="1445" w:right="480" w:hanging="3516" w:hangingChars="1465"/>
        <w:jc w:val="cente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color w:val="000000"/>
          <w:kern w:val="0"/>
          <w:sz w:val="24"/>
          <w:szCs w:val="24"/>
          <w:lang w:val="en-US" w:eastAsia="zh-CN"/>
        </w:rPr>
        <w:t xml:space="preserve">                   </w:t>
      </w:r>
      <w:r>
        <w:rPr>
          <w:rFonts w:hint="eastAsia" w:ascii="微软雅黑" w:hAnsi="微软雅黑" w:eastAsia="微软雅黑" w:cs="微软雅黑"/>
          <w:color w:val="000000"/>
          <w:kern w:val="0"/>
          <w:sz w:val="24"/>
          <w:szCs w:val="24"/>
        </w:rPr>
        <w:t>日期</w:t>
      </w:r>
      <w:r>
        <w:rPr>
          <w:rFonts w:hint="eastAsia" w:ascii="微软雅黑" w:hAnsi="微软雅黑" w:eastAsia="微软雅黑" w:cs="微软雅黑"/>
          <w:color w:val="000000"/>
          <w:kern w:val="0"/>
          <w:sz w:val="24"/>
          <w:szCs w:val="24"/>
          <w:u w:val="none"/>
        </w:rPr>
        <w:t>：2</w:t>
      </w:r>
      <w:r>
        <w:rPr>
          <w:rFonts w:hint="eastAsia" w:ascii="微软雅黑" w:hAnsi="微软雅黑" w:eastAsia="微软雅黑" w:cs="微软雅黑"/>
          <w:color w:val="000000"/>
          <w:kern w:val="0"/>
          <w:sz w:val="24"/>
          <w:szCs w:val="24"/>
          <w:u w:val="none"/>
          <w:lang w:val="en-US" w:eastAsia="zh-CN"/>
        </w:rPr>
        <w:t>023</w:t>
      </w:r>
      <w:r>
        <w:rPr>
          <w:rFonts w:hint="eastAsia" w:ascii="微软雅黑" w:hAnsi="微软雅黑" w:eastAsia="微软雅黑" w:cs="微软雅黑"/>
          <w:color w:val="000000"/>
          <w:kern w:val="0"/>
          <w:sz w:val="24"/>
          <w:szCs w:val="24"/>
          <w:u w:val="none"/>
        </w:rPr>
        <w:t xml:space="preserve"> 年</w:t>
      </w:r>
      <w:r>
        <w:rPr>
          <w:rFonts w:hint="eastAsia" w:ascii="微软雅黑" w:hAnsi="微软雅黑" w:eastAsia="微软雅黑" w:cs="微软雅黑"/>
          <w:color w:val="000000"/>
          <w:kern w:val="0"/>
          <w:sz w:val="24"/>
          <w:szCs w:val="24"/>
          <w:u w:val="none"/>
          <w:lang w:val="en-US" w:eastAsia="zh-CN"/>
        </w:rPr>
        <w:t>10</w:t>
      </w:r>
      <w:r>
        <w:rPr>
          <w:rFonts w:hint="eastAsia" w:ascii="微软雅黑" w:hAnsi="微软雅黑" w:eastAsia="微软雅黑" w:cs="微软雅黑"/>
          <w:color w:val="000000"/>
          <w:kern w:val="0"/>
          <w:sz w:val="24"/>
          <w:szCs w:val="24"/>
          <w:u w:val="none"/>
        </w:rPr>
        <w:t>月</w:t>
      </w:r>
      <w:r>
        <w:rPr>
          <w:rFonts w:hint="eastAsia" w:ascii="微软雅黑" w:hAnsi="微软雅黑" w:eastAsia="微软雅黑" w:cs="微软雅黑"/>
          <w:color w:val="000000"/>
          <w:kern w:val="0"/>
          <w:sz w:val="24"/>
          <w:szCs w:val="24"/>
          <w:u w:val="none"/>
          <w:lang w:val="en-US" w:eastAsia="zh-CN"/>
        </w:rPr>
        <w:t>23</w:t>
      </w:r>
      <w:r>
        <w:rPr>
          <w:rFonts w:hint="eastAsia" w:ascii="微软雅黑" w:hAnsi="微软雅黑" w:eastAsia="微软雅黑" w:cs="微软雅黑"/>
          <w:color w:val="000000"/>
          <w:kern w:val="0"/>
          <w:sz w:val="24"/>
          <w:szCs w:val="24"/>
          <w:u w:val="none"/>
        </w:rPr>
        <w:t xml:space="preserve">日 </w:t>
      </w:r>
      <w:bookmarkStart w:id="0" w:name="_GoBack"/>
      <w:bookmarkEnd w:id="0"/>
    </w:p>
    <w:sectPr>
      <w:headerReference r:id="rId3" w:type="default"/>
      <w:footerReference r:id="rId4" w:type="default"/>
      <w:footerReference r:id="rId5" w:type="even"/>
      <w:pgSz w:w="11906" w:h="16838"/>
      <w:pgMar w:top="1644" w:right="1361" w:bottom="1644" w:left="136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ÖÐºÚÌå">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docPartObj>
        <w:docPartGallery w:val="autotext"/>
      </w:docPartObj>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inorEastAsia" w:hAnsiTheme="minorEastAsia"/>
        <w:sz w:val="24"/>
        <w:szCs w:val="24"/>
      </w:rPr>
    </w:pPr>
    <w:r>
      <w:rPr>
        <w:rFonts w:hint="eastAsia" w:asciiTheme="minorEastAsia" w:hAnsiTheme="minorEastAsia"/>
        <w:sz w:val="24"/>
        <w:szCs w:val="24"/>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drawing>
        <wp:inline distT="0" distB="0" distL="0" distR="0">
          <wp:extent cx="1304290" cy="313690"/>
          <wp:effectExtent l="0" t="0" r="1016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04762" cy="3142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BEDB8"/>
    <w:multiLevelType w:val="singleLevel"/>
    <w:tmpl w:val="507BEDB8"/>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lNzcyMDIxNDI3ZDE1MWMyYjc0ZmFlYzFmOTViYTUifQ=="/>
  </w:docVars>
  <w:rsids>
    <w:rsidRoot w:val="00172A27"/>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4E2A89"/>
    <w:rsid w:val="0050358B"/>
    <w:rsid w:val="0050480F"/>
    <w:rsid w:val="00527D9D"/>
    <w:rsid w:val="00527F4E"/>
    <w:rsid w:val="00530892"/>
    <w:rsid w:val="00531944"/>
    <w:rsid w:val="00532642"/>
    <w:rsid w:val="00550CDE"/>
    <w:rsid w:val="00552F5B"/>
    <w:rsid w:val="00555DC6"/>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047"/>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17C7E"/>
    <w:rsid w:val="00E20D3B"/>
    <w:rsid w:val="00E265CB"/>
    <w:rsid w:val="00E36C66"/>
    <w:rsid w:val="00E85FBB"/>
    <w:rsid w:val="00E97291"/>
    <w:rsid w:val="00EA6CA2"/>
    <w:rsid w:val="00EE522C"/>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084E84"/>
    <w:rsid w:val="02473CB2"/>
    <w:rsid w:val="0267251F"/>
    <w:rsid w:val="027A7356"/>
    <w:rsid w:val="02C25C5B"/>
    <w:rsid w:val="02CD5820"/>
    <w:rsid w:val="03E86B12"/>
    <w:rsid w:val="05192501"/>
    <w:rsid w:val="067553C2"/>
    <w:rsid w:val="08455465"/>
    <w:rsid w:val="08AD1542"/>
    <w:rsid w:val="08EA0EFB"/>
    <w:rsid w:val="08EF4FF7"/>
    <w:rsid w:val="0A835B18"/>
    <w:rsid w:val="10C85BA2"/>
    <w:rsid w:val="12AD0C88"/>
    <w:rsid w:val="132C1D53"/>
    <w:rsid w:val="155D0ED5"/>
    <w:rsid w:val="19645B82"/>
    <w:rsid w:val="1B6C7E3D"/>
    <w:rsid w:val="1CD37C79"/>
    <w:rsid w:val="1CDE37FA"/>
    <w:rsid w:val="1DF17653"/>
    <w:rsid w:val="1FF004DB"/>
    <w:rsid w:val="206945A8"/>
    <w:rsid w:val="21B26C80"/>
    <w:rsid w:val="21CB3BAC"/>
    <w:rsid w:val="220B191E"/>
    <w:rsid w:val="23547EDF"/>
    <w:rsid w:val="235C5304"/>
    <w:rsid w:val="24F238AD"/>
    <w:rsid w:val="274D339F"/>
    <w:rsid w:val="27534E42"/>
    <w:rsid w:val="27977A44"/>
    <w:rsid w:val="27A27D31"/>
    <w:rsid w:val="28126204"/>
    <w:rsid w:val="29FB389A"/>
    <w:rsid w:val="2E477577"/>
    <w:rsid w:val="2E583E34"/>
    <w:rsid w:val="2F244B57"/>
    <w:rsid w:val="2F72580D"/>
    <w:rsid w:val="2F9E3B01"/>
    <w:rsid w:val="31782F13"/>
    <w:rsid w:val="320D7535"/>
    <w:rsid w:val="32D95539"/>
    <w:rsid w:val="35426CE9"/>
    <w:rsid w:val="35A115B8"/>
    <w:rsid w:val="367A251D"/>
    <w:rsid w:val="36A30CD8"/>
    <w:rsid w:val="370E42C5"/>
    <w:rsid w:val="3C7A6D4C"/>
    <w:rsid w:val="40987145"/>
    <w:rsid w:val="40DA28C4"/>
    <w:rsid w:val="425D3D7B"/>
    <w:rsid w:val="42B36923"/>
    <w:rsid w:val="43186AE6"/>
    <w:rsid w:val="43F152FD"/>
    <w:rsid w:val="4BA235E3"/>
    <w:rsid w:val="4C537357"/>
    <w:rsid w:val="4CFC6444"/>
    <w:rsid w:val="4D5267DA"/>
    <w:rsid w:val="4F47751F"/>
    <w:rsid w:val="4FE24749"/>
    <w:rsid w:val="51CF52BA"/>
    <w:rsid w:val="51F4772E"/>
    <w:rsid w:val="52FA0819"/>
    <w:rsid w:val="54FB1BDA"/>
    <w:rsid w:val="558E042B"/>
    <w:rsid w:val="57166DD8"/>
    <w:rsid w:val="580350D6"/>
    <w:rsid w:val="59D14FBA"/>
    <w:rsid w:val="5B335238"/>
    <w:rsid w:val="5B495C85"/>
    <w:rsid w:val="5C920DB0"/>
    <w:rsid w:val="5DC8038F"/>
    <w:rsid w:val="606673A4"/>
    <w:rsid w:val="6133475F"/>
    <w:rsid w:val="62700206"/>
    <w:rsid w:val="63484A73"/>
    <w:rsid w:val="65FE42EE"/>
    <w:rsid w:val="662927DF"/>
    <w:rsid w:val="66C41D8F"/>
    <w:rsid w:val="69077C14"/>
    <w:rsid w:val="6B59122A"/>
    <w:rsid w:val="6B5D6290"/>
    <w:rsid w:val="6DB507DD"/>
    <w:rsid w:val="6DDE7E4A"/>
    <w:rsid w:val="6FE1055B"/>
    <w:rsid w:val="6FF07166"/>
    <w:rsid w:val="6FFC0053"/>
    <w:rsid w:val="72C46076"/>
    <w:rsid w:val="73541F04"/>
    <w:rsid w:val="759002C4"/>
    <w:rsid w:val="76722736"/>
    <w:rsid w:val="7BB77201"/>
    <w:rsid w:val="7C310437"/>
    <w:rsid w:val="7D0C6EEC"/>
    <w:rsid w:val="7D144364"/>
    <w:rsid w:val="7D1E2C31"/>
    <w:rsid w:val="7D6751B2"/>
    <w:rsid w:val="7D6E5848"/>
    <w:rsid w:val="7E6B6025"/>
    <w:rsid w:val="7FEC5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table of authorities"/>
    <w:basedOn w:val="1"/>
    <w:next w:val="1"/>
    <w:qFormat/>
    <w:uiPriority w:val="0"/>
    <w:pPr>
      <w:ind w:left="200" w:leftChars="200"/>
    </w:pPr>
  </w:style>
  <w:style w:type="paragraph" w:styleId="4">
    <w:name w:val="annotation text"/>
    <w:basedOn w:val="1"/>
    <w:link w:val="22"/>
    <w:semiHidden/>
    <w:unhideWhenUsed/>
    <w:qFormat/>
    <w:uiPriority w:val="99"/>
    <w:pPr>
      <w:jc w:val="left"/>
    </w:pPr>
  </w:style>
  <w:style w:type="paragraph" w:styleId="5">
    <w:name w:val="Body Text"/>
    <w:basedOn w:val="1"/>
    <w:next w:val="1"/>
    <w:qFormat/>
    <w:uiPriority w:val="0"/>
    <w:pPr>
      <w:adjustRightInd w:val="0"/>
      <w:spacing w:after="160" w:afterLines="0" w:afterAutospacing="0" w:line="360" w:lineRule="atLeast"/>
      <w:jc w:val="left"/>
      <w:textAlignment w:val="baseline"/>
    </w:pPr>
    <w:rPr>
      <w:rFonts w:eastAsia="ÖÐºÚÌå"/>
      <w:kern w:val="24"/>
      <w:sz w:val="28"/>
    </w:rPr>
  </w:style>
  <w:style w:type="paragraph" w:styleId="6">
    <w:name w:val="Date"/>
    <w:basedOn w:val="1"/>
    <w:next w:val="1"/>
    <w:link w:val="20"/>
    <w:semiHidden/>
    <w:unhideWhenUsed/>
    <w:qFormat/>
    <w:uiPriority w:val="99"/>
    <w:pPr>
      <w:ind w:left="100" w:leftChars="2500"/>
    </w:pPr>
  </w:style>
  <w:style w:type="paragraph" w:styleId="7">
    <w:name w:val="Balloon Text"/>
    <w:basedOn w:val="1"/>
    <w:link w:val="23"/>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FollowedHyperlink"/>
    <w:basedOn w:val="12"/>
    <w:semiHidden/>
    <w:unhideWhenUsed/>
    <w:qFormat/>
    <w:uiPriority w:val="99"/>
    <w:rPr>
      <w:color w:val="800080" w:themeColor="followedHyperlink"/>
      <w:u w:val="single"/>
      <w14:textFill>
        <w14:solidFill>
          <w14:schemeClr w14:val="folHlink"/>
        </w14:solidFill>
      </w14:textFill>
    </w:rPr>
  </w:style>
  <w:style w:type="character" w:styleId="15">
    <w:name w:val="Hyperlink"/>
    <w:basedOn w:val="12"/>
    <w:semiHidden/>
    <w:unhideWhenUsed/>
    <w:qFormat/>
    <w:uiPriority w:val="99"/>
    <w:rPr>
      <w:color w:val="0000FF"/>
      <w:u w:val="none"/>
    </w:rPr>
  </w:style>
  <w:style w:type="character" w:styleId="16">
    <w:name w:val="annotation reference"/>
    <w:basedOn w:val="12"/>
    <w:semiHidden/>
    <w:unhideWhenUsed/>
    <w:qFormat/>
    <w:uiPriority w:val="99"/>
    <w:rPr>
      <w:sz w:val="21"/>
      <w:szCs w:val="21"/>
    </w:rPr>
  </w:style>
  <w:style w:type="paragraph" w:customStyle="1" w:styleId="17">
    <w:name w:val="UserStyle_0"/>
    <w:qFormat/>
    <w:uiPriority w:val="0"/>
    <w:pPr>
      <w:textAlignment w:val="baseline"/>
    </w:pPr>
    <w:rPr>
      <w:rFonts w:ascii="Times New Roman" w:hAnsi="Times New Roman" w:eastAsia="宋体" w:cs="Times New Roman"/>
      <w:color w:val="000000"/>
      <w:sz w:val="24"/>
      <w:szCs w:val="24"/>
      <w:lang w:val="en-US" w:eastAsia="zh-CN" w:bidi="ar-SA"/>
    </w:rPr>
  </w:style>
  <w:style w:type="character" w:customStyle="1" w:styleId="18">
    <w:name w:val="页眉 Char"/>
    <w:basedOn w:val="12"/>
    <w:link w:val="9"/>
    <w:qFormat/>
    <w:uiPriority w:val="99"/>
    <w:rPr>
      <w:sz w:val="18"/>
      <w:szCs w:val="18"/>
    </w:rPr>
  </w:style>
  <w:style w:type="character" w:customStyle="1" w:styleId="19">
    <w:name w:val="页脚 Char"/>
    <w:basedOn w:val="12"/>
    <w:link w:val="8"/>
    <w:qFormat/>
    <w:uiPriority w:val="99"/>
    <w:rPr>
      <w:sz w:val="18"/>
      <w:szCs w:val="18"/>
    </w:rPr>
  </w:style>
  <w:style w:type="character" w:customStyle="1" w:styleId="20">
    <w:name w:val="日期 Char"/>
    <w:basedOn w:val="12"/>
    <w:link w:val="6"/>
    <w:semiHidden/>
    <w:qFormat/>
    <w:uiPriority w:val="99"/>
  </w:style>
  <w:style w:type="paragraph" w:styleId="21">
    <w:name w:val="List Paragraph"/>
    <w:basedOn w:val="1"/>
    <w:qFormat/>
    <w:uiPriority w:val="34"/>
    <w:pPr>
      <w:ind w:firstLine="420" w:firstLineChars="200"/>
    </w:pPr>
  </w:style>
  <w:style w:type="character" w:customStyle="1" w:styleId="22">
    <w:name w:val="批注文字 Char"/>
    <w:basedOn w:val="12"/>
    <w:link w:val="4"/>
    <w:semiHidden/>
    <w:qFormat/>
    <w:uiPriority w:val="99"/>
  </w:style>
  <w:style w:type="character" w:customStyle="1" w:styleId="23">
    <w:name w:val="批注框文本 Char"/>
    <w:basedOn w:val="12"/>
    <w:link w:val="7"/>
    <w:semiHidden/>
    <w:qFormat/>
    <w:uiPriority w:val="99"/>
    <w:rPr>
      <w:sz w:val="18"/>
      <w:szCs w:val="18"/>
    </w:rPr>
  </w:style>
  <w:style w:type="character" w:customStyle="1" w:styleId="24">
    <w:name w:val="font01"/>
    <w:basedOn w:val="12"/>
    <w:qFormat/>
    <w:uiPriority w:val="0"/>
    <w:rPr>
      <w:rFonts w:hint="eastAsia" w:ascii="宋体" w:hAnsi="宋体" w:eastAsia="宋体" w:cs="宋体"/>
      <w:color w:val="000000"/>
      <w:sz w:val="22"/>
      <w:szCs w:val="22"/>
      <w:u w:val="none"/>
    </w:rPr>
  </w:style>
  <w:style w:type="character" w:customStyle="1" w:styleId="25">
    <w:name w:val="font61"/>
    <w:basedOn w:val="12"/>
    <w:qFormat/>
    <w:uiPriority w:val="0"/>
    <w:rPr>
      <w:rFonts w:hint="default" w:ascii="Times New Roman" w:hAnsi="Times New Roman" w:cs="Times New Roman"/>
      <w:color w:val="000000"/>
      <w:sz w:val="22"/>
      <w:szCs w:val="22"/>
      <w:u w:val="none"/>
      <w:vertAlign w:val="superscript"/>
    </w:rPr>
  </w:style>
  <w:style w:type="character" w:customStyle="1" w:styleId="26">
    <w:name w:val="font51"/>
    <w:basedOn w:val="12"/>
    <w:qFormat/>
    <w:uiPriority w:val="0"/>
    <w:rPr>
      <w:rFonts w:hint="eastAsia" w:ascii="宋体" w:hAnsi="宋体" w:eastAsia="宋体" w:cs="宋体"/>
      <w:color w:val="FF0000"/>
      <w:sz w:val="22"/>
      <w:szCs w:val="22"/>
      <w:u w:val="none"/>
    </w:rPr>
  </w:style>
  <w:style w:type="character" w:customStyle="1" w:styleId="27">
    <w:name w:val="font31"/>
    <w:basedOn w:val="12"/>
    <w:qFormat/>
    <w:uiPriority w:val="0"/>
    <w:rPr>
      <w:rFonts w:hint="eastAsia" w:ascii="宋体" w:hAnsi="宋体" w:eastAsia="宋体" w:cs="宋体"/>
      <w:color w:val="000000"/>
      <w:sz w:val="22"/>
      <w:szCs w:val="22"/>
      <w:u w:val="none"/>
    </w:rPr>
  </w:style>
  <w:style w:type="character" w:customStyle="1" w:styleId="28">
    <w:name w:val="font21"/>
    <w:basedOn w:val="12"/>
    <w:qFormat/>
    <w:uiPriority w:val="0"/>
    <w:rPr>
      <w:rFonts w:hint="eastAsia" w:ascii="宋体" w:hAnsi="宋体" w:eastAsia="宋体" w:cs="宋体"/>
      <w:color w:val="000000"/>
      <w:sz w:val="22"/>
      <w:szCs w:val="22"/>
      <w:u w:val="none"/>
    </w:rPr>
  </w:style>
  <w:style w:type="paragraph" w:customStyle="1" w:styleId="29">
    <w:name w:val="样式3"/>
    <w:basedOn w:val="1"/>
    <w:qFormat/>
    <w:uiPriority w:val="0"/>
    <w:pPr>
      <w:widowControl/>
      <w:spacing w:line="360" w:lineRule="auto"/>
      <w:ind w:firstLine="0" w:firstLineChars="0"/>
      <w:jc w:val="center"/>
      <w:textAlignment w:val="center"/>
    </w:pPr>
    <w:rPr>
      <w:rFonts w:hint="eastAsia" w:ascii="宋体" w:hAnsi="宋体" w:cs="宋体"/>
      <w:color w:val="auto"/>
      <w:kern w:val="0"/>
      <w:u w:val="none"/>
      <w:lang w:bidi="ar"/>
    </w:rPr>
  </w:style>
  <w:style w:type="character" w:customStyle="1" w:styleId="3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bm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1589</Words>
  <Characters>1893</Characters>
  <Lines>13</Lines>
  <Paragraphs>3</Paragraphs>
  <TotalTime>3</TotalTime>
  <ScaleCrop>false</ScaleCrop>
  <LinksUpToDate>false</LinksUpToDate>
  <CharactersWithSpaces>2086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依依桑</cp:lastModifiedBy>
  <cp:lastPrinted>2023-03-07T11:14:00Z</cp:lastPrinted>
  <dcterms:modified xsi:type="dcterms:W3CDTF">2023-10-23T00:42:04Z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18D77E4843D34C268E7BA1FF4B75A43B</vt:lpwstr>
  </property>
</Properties>
</file>